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C830C" w14:textId="4DEB8266" w:rsidR="003E4BF2" w:rsidRDefault="003E4BF2" w:rsidP="003E4BF2">
      <w:pPr>
        <w:pBdr>
          <w:bottom w:val="single" w:sz="4" w:space="1" w:color="auto"/>
        </w:pBd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IAD change in degree requirements</w:t>
      </w:r>
      <w:r>
        <w:rPr>
          <w:rFonts w:ascii="Calibri" w:eastAsia="Aptos" w:hAnsi="Calibri" w:cs="Calibri"/>
          <w:b/>
          <w:bCs/>
          <w:kern w:val="0"/>
          <w14:ligatures w14:val="none"/>
        </w:rPr>
        <w:tab/>
      </w:r>
      <w:r>
        <w:rPr>
          <w:rFonts w:ascii="Calibri" w:eastAsia="Aptos" w:hAnsi="Calibri" w:cs="Calibri"/>
          <w:b/>
          <w:bCs/>
          <w:kern w:val="0"/>
          <w14:ligatures w14:val="none"/>
        </w:rPr>
        <w:tab/>
      </w:r>
      <w:r>
        <w:rPr>
          <w:rFonts w:ascii="Calibri" w:eastAsia="Aptos" w:hAnsi="Calibri" w:cs="Calibri"/>
          <w:b/>
          <w:bCs/>
          <w:kern w:val="0"/>
          <w14:ligatures w14:val="none"/>
        </w:rPr>
        <w:tab/>
      </w:r>
      <w:r>
        <w:rPr>
          <w:rFonts w:ascii="Calibri" w:eastAsia="Aptos" w:hAnsi="Calibri" w:cs="Calibri"/>
          <w:b/>
          <w:bCs/>
          <w:kern w:val="0"/>
          <w14:ligatures w14:val="none"/>
        </w:rPr>
        <w:tab/>
      </w:r>
      <w:r>
        <w:rPr>
          <w:rFonts w:ascii="Calibri" w:eastAsia="Aptos" w:hAnsi="Calibri" w:cs="Calibri"/>
          <w:b/>
          <w:bCs/>
          <w:kern w:val="0"/>
          <w14:ligatures w14:val="none"/>
        </w:rPr>
        <w:tab/>
      </w:r>
      <w:r>
        <w:rPr>
          <w:rFonts w:ascii="Calibri" w:eastAsia="Aptos" w:hAnsi="Calibri" w:cs="Calibri"/>
          <w:b/>
          <w:bCs/>
          <w:kern w:val="0"/>
          <w14:ligatures w14:val="none"/>
        </w:rPr>
        <w:tab/>
        <w:t>2024-25 Academic Year</w:t>
      </w:r>
    </w:p>
    <w:p w14:paraId="5632EF46" w14:textId="77777777" w:rsidR="003E4BF2" w:rsidRDefault="003E4BF2" w:rsidP="009169E4">
      <w:pPr>
        <w:spacing w:after="0" w:line="240" w:lineRule="auto"/>
        <w:rPr>
          <w:rFonts w:ascii="Calibri" w:eastAsia="Aptos" w:hAnsi="Calibri" w:cs="Calibri"/>
          <w:b/>
          <w:bCs/>
          <w:kern w:val="0"/>
          <w14:ligatures w14:val="none"/>
        </w:rPr>
      </w:pPr>
    </w:p>
    <w:p w14:paraId="16AFAC44" w14:textId="153C6E33" w:rsidR="003E4BF2" w:rsidRDefault="003E4BF2" w:rsidP="009169E4">
      <w:pP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Summary</w:t>
      </w:r>
    </w:p>
    <w:p w14:paraId="52D5C646" w14:textId="1A37DAB7" w:rsidR="003E4BF2" w:rsidRDefault="003E4BF2" w:rsidP="009169E4">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The Agriculture and Resource Economics department is no longer able to teach IAD 201, our core course in small farm economics. This year we will submit a proposal to remove this course from IAD degree requirements and replace it with a required methods course. Students should select from the list below depending on the skills necessary for their independent project (thesis/capstone). Course options are divided into three categories: quantitative research, qualitative research, and statistics and experimental design. Students may petition to use another methods course on a case-by-case basis. </w:t>
      </w:r>
    </w:p>
    <w:p w14:paraId="358A739D" w14:textId="77777777" w:rsidR="0031299C" w:rsidRDefault="0031299C" w:rsidP="009169E4">
      <w:pPr>
        <w:spacing w:after="0" w:line="240" w:lineRule="auto"/>
        <w:rPr>
          <w:rFonts w:ascii="Calibri" w:eastAsia="Aptos" w:hAnsi="Calibri" w:cs="Calibri"/>
          <w:kern w:val="0"/>
          <w14:ligatures w14:val="none"/>
        </w:rPr>
      </w:pPr>
    </w:p>
    <w:p w14:paraId="6B184FDB" w14:textId="2453EAE6" w:rsidR="0031299C" w:rsidRDefault="0031299C" w:rsidP="009169E4">
      <w:pPr>
        <w:spacing w:after="0" w:line="240" w:lineRule="auto"/>
        <w:rPr>
          <w:rFonts w:ascii="Calibri" w:eastAsia="Aptos" w:hAnsi="Calibri" w:cs="Calibri"/>
          <w:kern w:val="0"/>
          <w14:ligatures w14:val="none"/>
        </w:rPr>
      </w:pPr>
      <w:r>
        <w:rPr>
          <w:rFonts w:ascii="Calibri" w:eastAsia="Aptos" w:hAnsi="Calibri" w:cs="Calibri"/>
          <w:kern w:val="0"/>
          <w14:ligatures w14:val="none"/>
        </w:rPr>
        <w:t>Note, while the proposal for the change in degree requirements is being reviewed by the Graduate Council, students are also able to substitute IAD 201 with an approved economics course.</w:t>
      </w:r>
      <w:r w:rsidR="00EA6A9C">
        <w:rPr>
          <w:rFonts w:ascii="Calibri" w:eastAsia="Aptos" w:hAnsi="Calibri" w:cs="Calibri"/>
          <w:kern w:val="0"/>
          <w14:ligatures w14:val="none"/>
        </w:rPr>
        <w:t xml:space="preserve"> The list of economics course options is included at the bottom. </w:t>
      </w:r>
    </w:p>
    <w:p w14:paraId="30C169E0" w14:textId="77777777" w:rsidR="003E4BF2" w:rsidRPr="003E4BF2" w:rsidRDefault="003E4BF2" w:rsidP="009169E4">
      <w:pPr>
        <w:spacing w:after="0" w:line="240" w:lineRule="auto"/>
        <w:rPr>
          <w:rFonts w:ascii="Calibri" w:eastAsia="Aptos" w:hAnsi="Calibri" w:cs="Calibri"/>
          <w:kern w:val="0"/>
          <w14:ligatures w14:val="none"/>
        </w:rPr>
      </w:pPr>
    </w:p>
    <w:p w14:paraId="66BBEE45" w14:textId="13B5A3E0" w:rsidR="009169E4" w:rsidRDefault="009169E4" w:rsidP="009169E4">
      <w:pP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Quantitative research</w:t>
      </w:r>
    </w:p>
    <w:p w14:paraId="298765EC" w14:textId="77777777" w:rsidR="009169E4" w:rsidRDefault="009169E4" w:rsidP="009169E4">
      <w:pPr>
        <w:spacing w:after="0" w:line="240" w:lineRule="auto"/>
        <w:rPr>
          <w:rFonts w:ascii="Calibri" w:eastAsia="Aptos" w:hAnsi="Calibri" w:cs="Calibri"/>
          <w:b/>
          <w:bCs/>
          <w:kern w:val="0"/>
          <w14:ligatures w14:val="none"/>
        </w:rPr>
      </w:pPr>
    </w:p>
    <w:p w14:paraId="4B977066" w14:textId="25090971"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CRD 150 — Quantitative Methods in Community Research (5 units)</w:t>
      </w:r>
    </w:p>
    <w:p w14:paraId="5A6BFCF4" w14:textId="21FC3B2F"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i/>
          <w:iCs/>
          <w:kern w:val="0"/>
          <w14:ligatures w14:val="none"/>
        </w:rPr>
        <w:t>Course Description:</w:t>
      </w:r>
      <w:r w:rsidRPr="009169E4">
        <w:rPr>
          <w:rFonts w:ascii="Calibri" w:eastAsia="Aptos" w:hAnsi="Calibri" w:cs="Calibri"/>
          <w:kern w:val="0"/>
          <w14:ligatures w14:val="none"/>
        </w:rPr>
        <w:t> Introduction to statistical analysis of social data relevant to community research, planning and assessment, emphasizing data sources and acquisition, descriptive and inferential analysis techniques, and data interpretation and presentation. Emphasis on spatial data and methods, focusing on the sources, processing, analysis, and presentation of spatial data in a community assessment context.</w:t>
      </w:r>
      <w:r w:rsidR="00BD2FF1">
        <w:rPr>
          <w:rFonts w:ascii="Calibri" w:eastAsia="Aptos" w:hAnsi="Calibri" w:cs="Calibri"/>
          <w:kern w:val="0"/>
          <w14:ligatures w14:val="none"/>
        </w:rPr>
        <w:t xml:space="preserve"> </w:t>
      </w:r>
      <w:r w:rsidRPr="009169E4">
        <w:rPr>
          <w:rFonts w:ascii="Calibri" w:eastAsia="Aptos" w:hAnsi="Calibri" w:cs="Calibri"/>
          <w:i/>
          <w:iCs/>
          <w:kern w:val="0"/>
          <w14:ligatures w14:val="none"/>
        </w:rPr>
        <w:t>Prerequisite(s): </w:t>
      </w:r>
      <w:r w:rsidRPr="009169E4">
        <w:rPr>
          <w:rFonts w:ascii="Calibri" w:eastAsia="Aptos" w:hAnsi="Calibri" w:cs="Calibri"/>
          <w:kern w:val="0"/>
          <w14:ligatures w14:val="none"/>
        </w:rPr>
        <w:t>SOC 046B or </w:t>
      </w:r>
      <w:hyperlink r:id="rId5" w:tgtFrame="_blank" w:tooltip="STA 013" w:history="1">
        <w:r w:rsidRPr="009169E4">
          <w:rPr>
            <w:rFonts w:ascii="Calibri" w:eastAsia="Aptos" w:hAnsi="Calibri" w:cs="Calibri"/>
            <w:color w:val="0563C1"/>
            <w:kern w:val="0"/>
            <w:u w:val="single"/>
            <w14:ligatures w14:val="none"/>
          </w:rPr>
          <w:t>STA 013</w:t>
        </w:r>
      </w:hyperlink>
      <w:r w:rsidRPr="009169E4">
        <w:rPr>
          <w:rFonts w:ascii="Calibri" w:eastAsia="Aptos" w:hAnsi="Calibri" w:cs="Calibri"/>
          <w:kern w:val="0"/>
          <w14:ligatures w14:val="none"/>
        </w:rPr>
        <w:t> or </w:t>
      </w:r>
      <w:hyperlink r:id="rId6" w:tgtFrame="_blank" w:tooltip="STA 013Y" w:history="1">
        <w:r w:rsidRPr="009169E4">
          <w:rPr>
            <w:rFonts w:ascii="Calibri" w:eastAsia="Aptos" w:hAnsi="Calibri" w:cs="Calibri"/>
            <w:color w:val="0563C1"/>
            <w:kern w:val="0"/>
            <w:u w:val="single"/>
            <w14:ligatures w14:val="none"/>
          </w:rPr>
          <w:t>STA 013Y</w:t>
        </w:r>
      </w:hyperlink>
      <w:r w:rsidRPr="009169E4">
        <w:rPr>
          <w:rFonts w:ascii="Calibri" w:eastAsia="Aptos" w:hAnsi="Calibri" w:cs="Calibri"/>
          <w:kern w:val="0"/>
          <w14:ligatures w14:val="none"/>
        </w:rPr>
        <w:t> or </w:t>
      </w:r>
      <w:hyperlink r:id="rId7" w:tgtFrame="_blank" w:tooltip="STA 032" w:history="1">
        <w:r w:rsidRPr="009169E4">
          <w:rPr>
            <w:rFonts w:ascii="Calibri" w:eastAsia="Aptos" w:hAnsi="Calibri" w:cs="Calibri"/>
            <w:color w:val="0563C1"/>
            <w:kern w:val="0"/>
            <w:u w:val="single"/>
            <w14:ligatures w14:val="none"/>
          </w:rPr>
          <w:t>STA 032</w:t>
        </w:r>
      </w:hyperlink>
      <w:r w:rsidRPr="009169E4">
        <w:rPr>
          <w:rFonts w:ascii="Calibri" w:eastAsia="Aptos" w:hAnsi="Calibri" w:cs="Calibri"/>
          <w:kern w:val="0"/>
          <w14:ligatures w14:val="none"/>
        </w:rPr>
        <w:t>; consent of instructor.</w:t>
      </w:r>
    </w:p>
    <w:p w14:paraId="7BD41439"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w:t>
      </w:r>
    </w:p>
    <w:p w14:paraId="1218CB04"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CRD 151 — Community Field Research: Theory &amp; Analysis (5 units)</w:t>
      </w:r>
    </w:p>
    <w:p w14:paraId="629D645F" w14:textId="4ED880D4"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i/>
          <w:iCs/>
          <w:kern w:val="0"/>
          <w14:ligatures w14:val="none"/>
        </w:rPr>
        <w:t>Course Description:</w:t>
      </w:r>
      <w:r w:rsidRPr="009169E4">
        <w:rPr>
          <w:rFonts w:ascii="Calibri" w:eastAsia="Aptos" w:hAnsi="Calibri" w:cs="Calibri"/>
          <w:kern w:val="0"/>
          <w14:ligatures w14:val="none"/>
        </w:rPr>
        <w:t> Design and analysis of community research considering the relationship between theory and practice. Community research methods, including elite interviewing, ethnographic approaches, and statistical methods, descriptive statistics and OLS regression. Requires design and completion of field research project.</w:t>
      </w:r>
      <w:r w:rsidR="00BD2FF1">
        <w:rPr>
          <w:rFonts w:ascii="Calibri" w:eastAsia="Aptos" w:hAnsi="Calibri" w:cs="Calibri"/>
          <w:kern w:val="0"/>
          <w14:ligatures w14:val="none"/>
        </w:rPr>
        <w:t xml:space="preserve"> </w:t>
      </w:r>
      <w:r w:rsidRPr="009169E4">
        <w:rPr>
          <w:rFonts w:ascii="Calibri" w:eastAsia="Aptos" w:hAnsi="Calibri" w:cs="Calibri"/>
          <w:i/>
          <w:iCs/>
          <w:kern w:val="0"/>
          <w14:ligatures w14:val="none"/>
        </w:rPr>
        <w:t>Prerequisite(s): </w:t>
      </w:r>
      <w:hyperlink r:id="rId8" w:tgtFrame="_blank" w:tooltip="CRD 001" w:history="1">
        <w:r w:rsidRPr="009169E4">
          <w:rPr>
            <w:rFonts w:ascii="Calibri" w:eastAsia="Aptos" w:hAnsi="Calibri" w:cs="Calibri"/>
            <w:color w:val="0563C1"/>
            <w:kern w:val="0"/>
            <w:u w:val="single"/>
            <w14:ligatures w14:val="none"/>
          </w:rPr>
          <w:t>CRD 001</w:t>
        </w:r>
      </w:hyperlink>
      <w:r w:rsidRPr="009169E4">
        <w:rPr>
          <w:rFonts w:ascii="Calibri" w:eastAsia="Aptos" w:hAnsi="Calibri" w:cs="Calibri"/>
          <w:kern w:val="0"/>
          <w14:ligatures w14:val="none"/>
        </w:rPr>
        <w:t>; (</w:t>
      </w:r>
      <w:hyperlink r:id="rId9" w:tgtFrame="_blank" w:tooltip="STA 013" w:history="1">
        <w:r w:rsidRPr="009169E4">
          <w:rPr>
            <w:rFonts w:ascii="Calibri" w:eastAsia="Aptos" w:hAnsi="Calibri" w:cs="Calibri"/>
            <w:color w:val="0563C1"/>
            <w:kern w:val="0"/>
            <w:u w:val="single"/>
            <w14:ligatures w14:val="none"/>
          </w:rPr>
          <w:t>STA 013</w:t>
        </w:r>
      </w:hyperlink>
      <w:r w:rsidRPr="009169E4">
        <w:rPr>
          <w:rFonts w:ascii="Calibri" w:eastAsia="Aptos" w:hAnsi="Calibri" w:cs="Calibri"/>
          <w:kern w:val="0"/>
          <w14:ligatures w14:val="none"/>
        </w:rPr>
        <w:t> or </w:t>
      </w:r>
      <w:hyperlink r:id="rId10" w:tgtFrame="_blank" w:tooltip="STA 013Y" w:history="1">
        <w:r w:rsidRPr="009169E4">
          <w:rPr>
            <w:rFonts w:ascii="Calibri" w:eastAsia="Aptos" w:hAnsi="Calibri" w:cs="Calibri"/>
            <w:color w:val="0563C1"/>
            <w:kern w:val="0"/>
            <w:u w:val="single"/>
            <w14:ligatures w14:val="none"/>
          </w:rPr>
          <w:t>STA 013Y</w:t>
        </w:r>
      </w:hyperlink>
      <w:r w:rsidRPr="009169E4">
        <w:rPr>
          <w:rFonts w:ascii="Calibri" w:eastAsia="Aptos" w:hAnsi="Calibri" w:cs="Calibri"/>
          <w:kern w:val="0"/>
          <w14:ligatures w14:val="none"/>
        </w:rPr>
        <w:t> or SOC 046B); any upper division Community Regional Development (CRD) course recommended.</w:t>
      </w:r>
    </w:p>
    <w:p w14:paraId="30050BD5" w14:textId="2DE80AC3" w:rsidR="00BD2FF1" w:rsidRDefault="009169E4" w:rsidP="00BD2FF1">
      <w:pPr>
        <w:spacing w:after="0" w:line="240" w:lineRule="auto"/>
        <w:rPr>
          <w:rFonts w:ascii="Calibri" w:eastAsia="Times New Roman" w:hAnsi="Calibri" w:cs="Calibri"/>
          <w:kern w:val="0"/>
          <w14:ligatures w14:val="none"/>
        </w:rPr>
      </w:pPr>
      <w:r w:rsidRPr="009169E4">
        <w:rPr>
          <w:rFonts w:ascii="Calibri" w:eastAsia="Aptos" w:hAnsi="Calibri" w:cs="Calibri"/>
          <w:kern w:val="0"/>
          <w14:ligatures w14:val="none"/>
        </w:rPr>
        <w:t> </w:t>
      </w:r>
    </w:p>
    <w:p w14:paraId="0B98C7E1" w14:textId="6119A613" w:rsidR="009169E4" w:rsidRDefault="009169E4" w:rsidP="00BD2FF1">
      <w:pPr>
        <w:spacing w:after="0" w:line="240" w:lineRule="auto"/>
        <w:rPr>
          <w:rFonts w:ascii="Calibri" w:eastAsia="Times New Roman" w:hAnsi="Calibri" w:cs="Calibri"/>
          <w:kern w:val="0"/>
          <w14:ligatures w14:val="none"/>
        </w:rPr>
      </w:pPr>
      <w:r w:rsidRPr="009169E4">
        <w:rPr>
          <w:rFonts w:ascii="Calibri" w:eastAsia="Times New Roman" w:hAnsi="Calibri" w:cs="Calibri"/>
          <w:kern w:val="0"/>
          <w14:ligatures w14:val="none"/>
        </w:rPr>
        <w:t>EDU 237 — Survey Research Methods (4 units)</w:t>
      </w:r>
    </w:p>
    <w:p w14:paraId="2C2BABE9" w14:textId="244D8972" w:rsid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Course Description:</w:t>
      </w:r>
      <w:r w:rsidRPr="00BD2FF1">
        <w:rPr>
          <w:rFonts w:ascii="Calibri" w:eastAsia="Times New Roman" w:hAnsi="Calibri" w:cs="Calibri"/>
          <w:kern w:val="0"/>
          <w14:ligatures w14:val="none"/>
        </w:rPr>
        <w:t> Theories, principles and application of survey research methodology. Students develop, validate, and administer survey instruments; select representative samples; conduct focus groups; and collect, organize, and analyze survey data. Familiarity with introductory concepts in descriptive and inferential statistics is assumed.</w:t>
      </w:r>
    </w:p>
    <w:p w14:paraId="03AA247E" w14:textId="77777777" w:rsidR="00BD2FF1" w:rsidRPr="009169E4" w:rsidRDefault="00BD2FF1" w:rsidP="00BD2FF1">
      <w:pPr>
        <w:spacing w:after="0" w:line="240" w:lineRule="auto"/>
        <w:rPr>
          <w:rFonts w:ascii="Calibri" w:eastAsia="Times New Roman" w:hAnsi="Calibri" w:cs="Calibri"/>
          <w:kern w:val="0"/>
          <w14:ligatures w14:val="none"/>
        </w:rPr>
      </w:pPr>
    </w:p>
    <w:p w14:paraId="5F1CE574" w14:textId="25681908" w:rsidR="009169E4" w:rsidRPr="009169E4" w:rsidRDefault="009169E4" w:rsidP="00BD2FF1">
      <w:pPr>
        <w:spacing w:after="0" w:line="240" w:lineRule="auto"/>
        <w:rPr>
          <w:rFonts w:ascii="Calibri" w:eastAsia="Times New Roman" w:hAnsi="Calibri" w:cs="Calibri"/>
          <w:kern w:val="0"/>
          <w14:ligatures w14:val="none"/>
        </w:rPr>
      </w:pPr>
      <w:r w:rsidRPr="009169E4">
        <w:rPr>
          <w:rFonts w:ascii="Calibri" w:eastAsia="Times New Roman" w:hAnsi="Calibri" w:cs="Calibri"/>
          <w:kern w:val="0"/>
          <w14:ligatures w14:val="none"/>
        </w:rPr>
        <w:t>SOC 207A — Methods of Quantitative Research (4 units)</w:t>
      </w:r>
    </w:p>
    <w:p w14:paraId="3273D5B8" w14:textId="5019A06B" w:rsid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Course Description:</w:t>
      </w:r>
      <w:r w:rsidRPr="00BD2FF1">
        <w:rPr>
          <w:rFonts w:ascii="Calibri" w:eastAsia="Times New Roman" w:hAnsi="Calibri" w:cs="Calibri"/>
          <w:kern w:val="0"/>
          <w14:ligatures w14:val="none"/>
        </w:rPr>
        <w:t> Principles of study design, examination of measurement, survey research methods and multivariate analysis. Stresses actual practice of techniques. Carry out quantitative data analysis using packaged computer programs.</w:t>
      </w:r>
      <w:r>
        <w:rPr>
          <w:rFonts w:ascii="Calibri" w:eastAsia="Times New Roman" w:hAnsi="Calibri" w:cs="Calibri"/>
          <w:kern w:val="0"/>
          <w14:ligatures w14:val="none"/>
        </w:rPr>
        <w:t xml:space="preserve"> </w:t>
      </w:r>
      <w:r w:rsidRPr="00BD2FF1">
        <w:rPr>
          <w:rFonts w:ascii="Calibri" w:eastAsia="Times New Roman" w:hAnsi="Calibri" w:cs="Calibri"/>
          <w:i/>
          <w:iCs/>
          <w:kern w:val="0"/>
          <w14:ligatures w14:val="none"/>
        </w:rPr>
        <w:t>Prerequisite(s): </w:t>
      </w:r>
      <w:hyperlink r:id="rId11" w:tooltip="SOC 106" w:history="1">
        <w:r w:rsidRPr="00BD2FF1">
          <w:rPr>
            <w:rStyle w:val="Hyperlink"/>
            <w:rFonts w:ascii="Calibri" w:eastAsia="Times New Roman" w:hAnsi="Calibri" w:cs="Calibri"/>
            <w:kern w:val="0"/>
            <w14:ligatures w14:val="none"/>
          </w:rPr>
          <w:t>SOC 106</w:t>
        </w:r>
      </w:hyperlink>
      <w:r w:rsidRPr="00BD2FF1">
        <w:rPr>
          <w:rFonts w:ascii="Calibri" w:eastAsia="Times New Roman" w:hAnsi="Calibri" w:cs="Calibri"/>
          <w:kern w:val="0"/>
          <w14:ligatures w14:val="none"/>
        </w:rPr>
        <w:t>; or the equivalent.</w:t>
      </w:r>
    </w:p>
    <w:p w14:paraId="4F7FCD0E" w14:textId="019EEFE4" w:rsidR="009169E4" w:rsidRDefault="009169E4" w:rsidP="009169E4">
      <w:pPr>
        <w:spacing w:after="0" w:line="240" w:lineRule="auto"/>
        <w:rPr>
          <w:rFonts w:ascii="Calibri" w:eastAsia="Aptos" w:hAnsi="Calibri" w:cs="Calibri"/>
          <w:kern w:val="0"/>
          <w14:ligatures w14:val="none"/>
        </w:rPr>
      </w:pPr>
    </w:p>
    <w:p w14:paraId="0876FD48" w14:textId="77777777" w:rsidR="009169E4" w:rsidRDefault="009169E4" w:rsidP="009169E4">
      <w:pPr>
        <w:spacing w:after="0" w:line="240" w:lineRule="auto"/>
        <w:rPr>
          <w:rFonts w:ascii="Calibri" w:eastAsia="Aptos" w:hAnsi="Calibri" w:cs="Calibri"/>
          <w:b/>
          <w:bCs/>
          <w:kern w:val="0"/>
          <w14:ligatures w14:val="none"/>
        </w:rPr>
      </w:pPr>
    </w:p>
    <w:p w14:paraId="0BCAADF4" w14:textId="35D35BD6" w:rsidR="009169E4" w:rsidRPr="009169E4" w:rsidRDefault="009169E4" w:rsidP="009169E4">
      <w:pPr>
        <w:spacing w:after="0" w:line="240" w:lineRule="auto"/>
        <w:rPr>
          <w:rFonts w:ascii="Calibri" w:eastAsia="Aptos" w:hAnsi="Calibri" w:cs="Calibri"/>
          <w:b/>
          <w:bCs/>
          <w:kern w:val="0"/>
          <w14:ligatures w14:val="none"/>
        </w:rPr>
      </w:pPr>
      <w:r w:rsidRPr="009169E4">
        <w:rPr>
          <w:rFonts w:ascii="Calibri" w:eastAsia="Aptos" w:hAnsi="Calibri" w:cs="Calibri"/>
          <w:b/>
          <w:bCs/>
          <w:kern w:val="0"/>
          <w14:ligatures w14:val="none"/>
        </w:rPr>
        <w:t>Qualitative research</w:t>
      </w:r>
    </w:p>
    <w:p w14:paraId="30859D49" w14:textId="77777777" w:rsidR="009169E4" w:rsidRPr="009169E4" w:rsidRDefault="009169E4" w:rsidP="009169E4">
      <w:pPr>
        <w:spacing w:after="0" w:line="240" w:lineRule="auto"/>
        <w:rPr>
          <w:rFonts w:ascii="Calibri" w:eastAsia="Aptos" w:hAnsi="Calibri" w:cs="Calibri"/>
          <w:kern w:val="0"/>
          <w14:ligatures w14:val="none"/>
        </w:rPr>
      </w:pPr>
    </w:p>
    <w:p w14:paraId="14277F18" w14:textId="77777777" w:rsidR="00BD2FF1" w:rsidRDefault="00BD2FF1" w:rsidP="00BD2FF1">
      <w:pPr>
        <w:spacing w:after="0" w:line="240" w:lineRule="auto"/>
        <w:rPr>
          <w:rFonts w:ascii="Calibri" w:eastAsia="Times New Roman" w:hAnsi="Calibri" w:cs="Calibri"/>
          <w:kern w:val="0"/>
          <w14:ligatures w14:val="none"/>
        </w:rPr>
      </w:pPr>
      <w:r w:rsidRPr="009169E4">
        <w:rPr>
          <w:rFonts w:ascii="Calibri" w:eastAsia="Times New Roman" w:hAnsi="Calibri" w:cs="Calibri"/>
          <w:kern w:val="0"/>
          <w14:ligatures w14:val="none"/>
        </w:rPr>
        <w:t>GSW 200B — Feminism &amp; Research Methodology (4 units)</w:t>
      </w:r>
    </w:p>
    <w:p w14:paraId="4A43744A" w14:textId="77777777" w:rsid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Course Description</w:t>
      </w:r>
      <w:r w:rsidRPr="00BD2FF1">
        <w:rPr>
          <w:rFonts w:ascii="Calibri" w:eastAsia="Times New Roman" w:hAnsi="Calibri" w:cs="Calibri"/>
          <w:kern w:val="0"/>
          <w14:ligatures w14:val="none"/>
        </w:rPr>
        <w:t>: Application of feminist epistemology and ethics in the design of graduate research.</w:t>
      </w:r>
      <w:r>
        <w:rPr>
          <w:rFonts w:ascii="Calibri" w:eastAsia="Times New Roman" w:hAnsi="Calibri" w:cs="Calibri"/>
          <w:kern w:val="0"/>
          <w14:ligatures w14:val="none"/>
        </w:rPr>
        <w:t xml:space="preserve"> </w:t>
      </w:r>
      <w:r w:rsidRPr="00BD2FF1">
        <w:rPr>
          <w:rFonts w:ascii="Calibri" w:eastAsia="Times New Roman" w:hAnsi="Calibri" w:cs="Calibri"/>
          <w:i/>
          <w:iCs/>
          <w:kern w:val="0"/>
          <w14:ligatures w14:val="none"/>
        </w:rPr>
        <w:t>Prerequisite</w:t>
      </w:r>
      <w:r w:rsidRPr="00BD2FF1">
        <w:rPr>
          <w:rFonts w:ascii="Calibri" w:eastAsia="Times New Roman" w:hAnsi="Calibri" w:cs="Calibri"/>
          <w:kern w:val="0"/>
          <w14:ligatures w14:val="none"/>
        </w:rPr>
        <w:t>(s): Consent of instructor;</w:t>
      </w:r>
      <w:r>
        <w:rPr>
          <w:rFonts w:ascii="Calibri" w:eastAsia="Times New Roman" w:hAnsi="Calibri" w:cs="Calibri"/>
          <w:kern w:val="0"/>
          <w14:ligatures w14:val="none"/>
        </w:rPr>
        <w:t xml:space="preserve"> </w:t>
      </w:r>
      <w:r w:rsidRPr="00BD2FF1">
        <w:rPr>
          <w:rFonts w:ascii="Calibri" w:eastAsia="Times New Roman" w:hAnsi="Calibri" w:cs="Calibri"/>
          <w:kern w:val="0"/>
          <w14:ligatures w14:val="none"/>
        </w:rPr>
        <w:t xml:space="preserve">students are required to have </w:t>
      </w:r>
      <w:proofErr w:type="gramStart"/>
      <w:r w:rsidRPr="00BD2FF1">
        <w:rPr>
          <w:rFonts w:ascii="Calibri" w:eastAsia="Times New Roman" w:hAnsi="Calibri" w:cs="Calibri"/>
          <w:kern w:val="0"/>
          <w14:ligatures w14:val="none"/>
        </w:rPr>
        <w:t>Bachelor's</w:t>
      </w:r>
      <w:proofErr w:type="gramEnd"/>
      <w:r w:rsidRPr="00BD2FF1">
        <w:rPr>
          <w:rFonts w:ascii="Calibri" w:eastAsia="Times New Roman" w:hAnsi="Calibri" w:cs="Calibri"/>
          <w:kern w:val="0"/>
          <w14:ligatures w14:val="none"/>
        </w:rPr>
        <w:t xml:space="preserve"> Level Competency in Gender Studies.</w:t>
      </w:r>
    </w:p>
    <w:p w14:paraId="05CD69FE" w14:textId="77777777" w:rsidR="00BD2FF1" w:rsidRDefault="00BD2FF1" w:rsidP="00BD2FF1">
      <w:pPr>
        <w:spacing w:after="0" w:line="240" w:lineRule="auto"/>
        <w:rPr>
          <w:rFonts w:ascii="Calibri" w:eastAsia="Times New Roman" w:hAnsi="Calibri" w:cs="Calibri"/>
          <w:kern w:val="0"/>
          <w14:ligatures w14:val="none"/>
        </w:rPr>
      </w:pPr>
    </w:p>
    <w:p w14:paraId="0AC67CBA" w14:textId="39F1A17F" w:rsidR="00BD2FF1" w:rsidRPr="009169E4" w:rsidRDefault="00BD2FF1" w:rsidP="00BD2FF1">
      <w:pPr>
        <w:spacing w:after="0" w:line="240" w:lineRule="auto"/>
        <w:rPr>
          <w:rFonts w:ascii="Calibri" w:eastAsia="Times New Roman" w:hAnsi="Calibri" w:cs="Calibri"/>
          <w:kern w:val="0"/>
          <w14:ligatures w14:val="none"/>
        </w:rPr>
      </w:pPr>
      <w:r w:rsidRPr="009169E4">
        <w:rPr>
          <w:rFonts w:ascii="Calibri" w:eastAsia="Times New Roman" w:hAnsi="Calibri" w:cs="Calibri"/>
          <w:kern w:val="0"/>
          <w14:ligatures w14:val="none"/>
        </w:rPr>
        <w:t>SOC 292A — Field Research (4 units)</w:t>
      </w:r>
    </w:p>
    <w:p w14:paraId="7BAB91B5" w14:textId="77777777" w:rsidR="00BD2FF1" w:rsidRPr="00BD2FF1" w:rsidRDefault="00BD2FF1" w:rsidP="00BD2FF1">
      <w:pPr>
        <w:spacing w:after="0" w:line="240" w:lineRule="auto"/>
        <w:rPr>
          <w:rFonts w:ascii="Calibri" w:eastAsia="Aptos" w:hAnsi="Calibri" w:cs="Calibri"/>
          <w:kern w:val="0"/>
          <w14:ligatures w14:val="none"/>
        </w:rPr>
      </w:pPr>
      <w:r w:rsidRPr="00BD2FF1">
        <w:rPr>
          <w:rFonts w:ascii="Calibri" w:eastAsia="Aptos" w:hAnsi="Calibri" w:cs="Calibri"/>
          <w:i/>
          <w:iCs/>
          <w:kern w:val="0"/>
          <w14:ligatures w14:val="none"/>
        </w:rPr>
        <w:t>Course Description:</w:t>
      </w:r>
      <w:r w:rsidRPr="00BD2FF1">
        <w:rPr>
          <w:rFonts w:ascii="Calibri" w:eastAsia="Aptos" w:hAnsi="Calibri" w:cs="Calibri"/>
          <w:kern w:val="0"/>
          <w14:ligatures w14:val="none"/>
        </w:rPr>
        <w:t> Introduction to the logic, methods, and practices of field research, with particular emphasis on the ethnographic tradition of participant observation. Interviewing and other qualitative techniques will also be covered. Students will develop original research projects based on their own fieldwork.</w:t>
      </w:r>
      <w:r>
        <w:rPr>
          <w:rFonts w:ascii="Calibri" w:eastAsia="Aptos" w:hAnsi="Calibri" w:cs="Calibri"/>
          <w:kern w:val="0"/>
          <w14:ligatures w14:val="none"/>
        </w:rPr>
        <w:t xml:space="preserve"> </w:t>
      </w:r>
      <w:r w:rsidRPr="00BD2FF1">
        <w:rPr>
          <w:rFonts w:ascii="Calibri" w:eastAsia="Aptos" w:hAnsi="Calibri" w:cs="Calibri"/>
          <w:i/>
          <w:iCs/>
          <w:kern w:val="0"/>
          <w14:ligatures w14:val="none"/>
        </w:rPr>
        <w:t>Prerequisite(s): </w:t>
      </w:r>
      <w:r w:rsidRPr="00BD2FF1">
        <w:rPr>
          <w:rFonts w:ascii="Calibri" w:eastAsia="Aptos" w:hAnsi="Calibri" w:cs="Calibri"/>
          <w:kern w:val="0"/>
          <w14:ligatures w14:val="none"/>
        </w:rPr>
        <w:t>Graduate standing in Sociology or consent of instructor.</w:t>
      </w:r>
    </w:p>
    <w:p w14:paraId="2670A1ED" w14:textId="77777777" w:rsidR="00BD2FF1" w:rsidRDefault="00BD2FF1" w:rsidP="00BD2FF1">
      <w:pPr>
        <w:spacing w:after="0" w:line="240" w:lineRule="auto"/>
        <w:rPr>
          <w:rFonts w:ascii="Calibri" w:eastAsia="Times New Roman" w:hAnsi="Calibri" w:cs="Calibri"/>
          <w:kern w:val="0"/>
          <w14:ligatures w14:val="none"/>
        </w:rPr>
      </w:pPr>
    </w:p>
    <w:p w14:paraId="4A00C1FC" w14:textId="77777777" w:rsidR="00BD2FF1" w:rsidRPr="009169E4" w:rsidRDefault="00BD2FF1" w:rsidP="00BD2FF1">
      <w:pPr>
        <w:spacing w:after="0" w:line="240" w:lineRule="auto"/>
        <w:rPr>
          <w:rFonts w:ascii="Calibri" w:eastAsia="Times New Roman" w:hAnsi="Calibri" w:cs="Calibri"/>
          <w:kern w:val="0"/>
          <w14:ligatures w14:val="none"/>
        </w:rPr>
      </w:pPr>
      <w:r w:rsidRPr="009169E4">
        <w:rPr>
          <w:rFonts w:ascii="Calibri" w:eastAsia="Times New Roman" w:hAnsi="Calibri" w:cs="Calibri"/>
          <w:kern w:val="0"/>
          <w14:ligatures w14:val="none"/>
        </w:rPr>
        <w:t>EDU 201 — Qualitative Research in Education (4 units)</w:t>
      </w:r>
    </w:p>
    <w:p w14:paraId="1A1EC5ED" w14:textId="77777777" w:rsidR="00BD2FF1" w:rsidRP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Course Description:</w:t>
      </w:r>
      <w:r w:rsidRPr="00BD2FF1">
        <w:rPr>
          <w:rFonts w:ascii="Calibri" w:eastAsia="Times New Roman" w:hAnsi="Calibri" w:cs="Calibri"/>
          <w:kern w:val="0"/>
          <w14:ligatures w14:val="none"/>
        </w:rPr>
        <w:t> Examines the design and conduct of educational research using non-numerical data (e.g., text, discourse, imagery and artifacts). Focuses on issues (e.g., validity, reliability, generalizability, ethics) and reporting genres (e.g., narrative accounts, case studies, and arguments).</w:t>
      </w:r>
    </w:p>
    <w:p w14:paraId="299BE5B9" w14:textId="77777777" w:rsidR="00BD2FF1" w:rsidRP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Prerequisite(s): </w:t>
      </w:r>
      <w:r w:rsidRPr="00BD2FF1">
        <w:rPr>
          <w:rFonts w:ascii="Calibri" w:eastAsia="Times New Roman" w:hAnsi="Calibri" w:cs="Calibri"/>
          <w:kern w:val="0"/>
          <w14:ligatures w14:val="none"/>
        </w:rPr>
        <w:t>Graduate standing or consent of instructor.</w:t>
      </w:r>
    </w:p>
    <w:p w14:paraId="42DCA9F3" w14:textId="77777777" w:rsidR="00BD2FF1" w:rsidRDefault="00BD2FF1" w:rsidP="00BD2FF1">
      <w:pPr>
        <w:spacing w:after="0" w:line="240" w:lineRule="auto"/>
        <w:rPr>
          <w:rFonts w:ascii="Calibri" w:eastAsia="Times New Roman" w:hAnsi="Calibri" w:cs="Calibri"/>
          <w:kern w:val="0"/>
          <w14:ligatures w14:val="none"/>
        </w:rPr>
      </w:pPr>
    </w:p>
    <w:p w14:paraId="24F32A7A" w14:textId="464792EF" w:rsidR="00BD2FF1" w:rsidRPr="009169E4" w:rsidRDefault="00BD2FF1" w:rsidP="00BD2FF1">
      <w:pPr>
        <w:spacing w:after="0" w:line="240" w:lineRule="auto"/>
        <w:rPr>
          <w:rFonts w:ascii="Calibri" w:eastAsia="Times New Roman" w:hAnsi="Calibri" w:cs="Calibri"/>
          <w:kern w:val="0"/>
          <w14:ligatures w14:val="none"/>
        </w:rPr>
      </w:pPr>
      <w:r w:rsidRPr="009169E4">
        <w:rPr>
          <w:rFonts w:ascii="Calibri" w:eastAsia="Times New Roman" w:hAnsi="Calibri" w:cs="Calibri"/>
          <w:kern w:val="0"/>
          <w14:ligatures w14:val="none"/>
        </w:rPr>
        <w:t>EDU 238 — Participatory Action Research (PAR) (4 units)</w:t>
      </w:r>
    </w:p>
    <w:p w14:paraId="1FB14E22" w14:textId="77777777" w:rsidR="00BD2FF1" w:rsidRP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Course Description:</w:t>
      </w:r>
      <w:r w:rsidRPr="00BD2FF1">
        <w:rPr>
          <w:rFonts w:ascii="Calibri" w:eastAsia="Times New Roman" w:hAnsi="Calibri" w:cs="Calibri"/>
          <w:kern w:val="0"/>
          <w14:ligatures w14:val="none"/>
        </w:rPr>
        <w:t xml:space="preserve"> Principles and strategies of PAR and related methodologies that emphasize collaborating with those affected by the issue being researched </w:t>
      </w:r>
      <w:proofErr w:type="gramStart"/>
      <w:r w:rsidRPr="00BD2FF1">
        <w:rPr>
          <w:rFonts w:ascii="Calibri" w:eastAsia="Times New Roman" w:hAnsi="Calibri" w:cs="Calibri"/>
          <w:kern w:val="0"/>
          <w14:ligatures w14:val="none"/>
        </w:rPr>
        <w:t>in order to</w:t>
      </w:r>
      <w:proofErr w:type="gramEnd"/>
      <w:r w:rsidRPr="00BD2FF1">
        <w:rPr>
          <w:rFonts w:ascii="Calibri" w:eastAsia="Times New Roman" w:hAnsi="Calibri" w:cs="Calibri"/>
          <w:kern w:val="0"/>
          <w14:ligatures w14:val="none"/>
        </w:rPr>
        <w:t xml:space="preserve"> educate, take action or effect social change. Conduct interviews with potential collaborators, case analyses and research proposals.</w:t>
      </w:r>
    </w:p>
    <w:p w14:paraId="700F3096" w14:textId="77777777" w:rsidR="00BD2FF1" w:rsidRP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Prerequisite(s): </w:t>
      </w:r>
      <w:r w:rsidRPr="00BD2FF1">
        <w:rPr>
          <w:rFonts w:ascii="Calibri" w:eastAsia="Times New Roman" w:hAnsi="Calibri" w:cs="Calibri"/>
          <w:kern w:val="0"/>
          <w14:ligatures w14:val="none"/>
        </w:rPr>
        <w:t>Introductory research methods course recommended.</w:t>
      </w:r>
    </w:p>
    <w:p w14:paraId="11C7DA37" w14:textId="77777777" w:rsidR="00BD2FF1" w:rsidRDefault="00BD2FF1" w:rsidP="00BD2FF1">
      <w:pPr>
        <w:spacing w:after="0" w:line="240" w:lineRule="auto"/>
        <w:rPr>
          <w:rFonts w:ascii="Calibri" w:eastAsia="Times New Roman" w:hAnsi="Calibri" w:cs="Calibri"/>
          <w:kern w:val="0"/>
          <w14:ligatures w14:val="none"/>
        </w:rPr>
      </w:pPr>
    </w:p>
    <w:p w14:paraId="345F1C8F" w14:textId="77777777" w:rsidR="00BD2FF1" w:rsidRPr="009169E4" w:rsidRDefault="00BD2FF1" w:rsidP="00BD2FF1">
      <w:pPr>
        <w:spacing w:after="0" w:line="240" w:lineRule="auto"/>
        <w:rPr>
          <w:rFonts w:ascii="Calibri" w:eastAsia="Times New Roman" w:hAnsi="Calibri" w:cs="Calibri"/>
          <w:kern w:val="0"/>
          <w14:ligatures w14:val="none"/>
        </w:rPr>
      </w:pPr>
      <w:r w:rsidRPr="009169E4">
        <w:rPr>
          <w:rFonts w:ascii="Calibri" w:eastAsia="Times New Roman" w:hAnsi="Calibri" w:cs="Calibri"/>
          <w:kern w:val="0"/>
          <w14:ligatures w14:val="none"/>
        </w:rPr>
        <w:t>EDU 239 — Interview Methods (4 units)</w:t>
      </w:r>
    </w:p>
    <w:p w14:paraId="3FD75E5C" w14:textId="77777777" w:rsidR="00BD2FF1" w:rsidRPr="00BD2FF1" w:rsidRDefault="00BD2FF1" w:rsidP="00BD2FF1">
      <w:pPr>
        <w:spacing w:after="0" w:line="240" w:lineRule="auto"/>
        <w:rPr>
          <w:rFonts w:ascii="Calibri" w:eastAsia="Times New Roman" w:hAnsi="Calibri" w:cs="Calibri"/>
          <w:kern w:val="0"/>
          <w14:ligatures w14:val="none"/>
        </w:rPr>
      </w:pPr>
      <w:r w:rsidRPr="00BD2FF1">
        <w:rPr>
          <w:rFonts w:ascii="Calibri" w:eastAsia="Times New Roman" w:hAnsi="Calibri" w:cs="Calibri"/>
          <w:i/>
          <w:iCs/>
          <w:kern w:val="0"/>
          <w14:ligatures w14:val="none"/>
        </w:rPr>
        <w:t>Course Description:</w:t>
      </w:r>
      <w:r w:rsidRPr="00BD2FF1">
        <w:rPr>
          <w:rFonts w:ascii="Calibri" w:eastAsia="Times New Roman" w:hAnsi="Calibri" w:cs="Calibri"/>
          <w:kern w:val="0"/>
          <w14:ligatures w14:val="none"/>
        </w:rPr>
        <w:t xml:space="preserve"> Introduction to qualitative interviewing, focused </w:t>
      </w:r>
      <w:proofErr w:type="gramStart"/>
      <w:r w:rsidRPr="00BD2FF1">
        <w:rPr>
          <w:rFonts w:ascii="Calibri" w:eastAsia="Times New Roman" w:hAnsi="Calibri" w:cs="Calibri"/>
          <w:kern w:val="0"/>
          <w14:ligatures w14:val="none"/>
        </w:rPr>
        <w:t>in particular on</w:t>
      </w:r>
      <w:proofErr w:type="gramEnd"/>
      <w:r w:rsidRPr="00BD2FF1">
        <w:rPr>
          <w:rFonts w:ascii="Calibri" w:eastAsia="Times New Roman" w:hAnsi="Calibri" w:cs="Calibri"/>
          <w:kern w:val="0"/>
          <w14:ligatures w14:val="none"/>
        </w:rPr>
        <w:t xml:space="preserve"> narrative and self-story as both practical method and theoretical stance. Complete a case-focused interview project during the course: designing an interview protocol, conducting the interview, transcribing, analyzing, and presenting their research.</w:t>
      </w:r>
      <w:r>
        <w:rPr>
          <w:rFonts w:ascii="Calibri" w:eastAsia="Times New Roman" w:hAnsi="Calibri" w:cs="Calibri"/>
          <w:kern w:val="0"/>
          <w14:ligatures w14:val="none"/>
        </w:rPr>
        <w:t xml:space="preserve"> </w:t>
      </w:r>
      <w:r w:rsidRPr="00BD2FF1">
        <w:rPr>
          <w:rFonts w:ascii="Calibri" w:eastAsia="Times New Roman" w:hAnsi="Calibri" w:cs="Calibri"/>
          <w:i/>
          <w:iCs/>
          <w:kern w:val="0"/>
          <w14:ligatures w14:val="none"/>
        </w:rPr>
        <w:t>Prerequisite(s): </w:t>
      </w:r>
      <w:hyperlink r:id="rId12" w:tooltip="EDU 201" w:history="1">
        <w:r w:rsidRPr="00BD2FF1">
          <w:rPr>
            <w:rStyle w:val="Hyperlink"/>
            <w:rFonts w:ascii="Calibri" w:eastAsia="Times New Roman" w:hAnsi="Calibri" w:cs="Calibri"/>
            <w:kern w:val="0"/>
            <w14:ligatures w14:val="none"/>
          </w:rPr>
          <w:t>EDU 201</w:t>
        </w:r>
      </w:hyperlink>
      <w:r w:rsidRPr="00BD2FF1">
        <w:rPr>
          <w:rFonts w:ascii="Calibri" w:eastAsia="Times New Roman" w:hAnsi="Calibri" w:cs="Calibri"/>
          <w:kern w:val="0"/>
          <w14:ligatures w14:val="none"/>
        </w:rPr>
        <w:t> or equivalent course recommended.</w:t>
      </w:r>
    </w:p>
    <w:p w14:paraId="444BC30B" w14:textId="77777777" w:rsidR="00BD2FF1" w:rsidRDefault="00BD2FF1" w:rsidP="00BD2FF1">
      <w:pPr>
        <w:spacing w:after="0" w:line="240" w:lineRule="auto"/>
        <w:rPr>
          <w:rFonts w:ascii="Calibri" w:eastAsia="Times New Roman" w:hAnsi="Calibri" w:cs="Calibri"/>
          <w:kern w:val="0"/>
          <w14:ligatures w14:val="none"/>
        </w:rPr>
      </w:pPr>
    </w:p>
    <w:p w14:paraId="0983EC33" w14:textId="77777777" w:rsidR="009169E4" w:rsidRDefault="009169E4" w:rsidP="009169E4">
      <w:pPr>
        <w:spacing w:after="0" w:line="240" w:lineRule="auto"/>
        <w:rPr>
          <w:rFonts w:ascii="Calibri" w:eastAsia="Aptos" w:hAnsi="Calibri" w:cs="Calibri"/>
          <w:b/>
          <w:bCs/>
          <w:kern w:val="0"/>
          <w14:ligatures w14:val="none"/>
        </w:rPr>
      </w:pPr>
    </w:p>
    <w:p w14:paraId="684F1C9F" w14:textId="325130ED" w:rsidR="009169E4" w:rsidRDefault="009169E4" w:rsidP="009169E4">
      <w:pP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 xml:space="preserve">Statistics and experimental design </w:t>
      </w:r>
    </w:p>
    <w:p w14:paraId="3537F5E7" w14:textId="77777777" w:rsidR="009169E4" w:rsidRDefault="009169E4" w:rsidP="009169E4">
      <w:pPr>
        <w:spacing w:after="0" w:line="240" w:lineRule="auto"/>
        <w:rPr>
          <w:rFonts w:ascii="Calibri" w:eastAsia="Aptos" w:hAnsi="Calibri" w:cs="Calibri"/>
          <w:b/>
          <w:bCs/>
          <w:kern w:val="0"/>
          <w14:ligatures w14:val="none"/>
        </w:rPr>
      </w:pPr>
    </w:p>
    <w:p w14:paraId="74EA64E1" w14:textId="72A2BD8F"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xml:space="preserve">PLS 205 — Experimental Design &amp; Analysis (5 units) </w:t>
      </w:r>
    </w:p>
    <w:p w14:paraId="5F2D00ED"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i/>
          <w:iCs/>
          <w:kern w:val="0"/>
          <w14:ligatures w14:val="none"/>
        </w:rPr>
        <w:t>Course Description:</w:t>
      </w:r>
      <w:r w:rsidRPr="009169E4">
        <w:rPr>
          <w:rFonts w:ascii="Calibri" w:eastAsia="Aptos" w:hAnsi="Calibri" w:cs="Calibri"/>
          <w:kern w:val="0"/>
          <w14:ligatures w14:val="none"/>
        </w:rPr>
        <w:t xml:space="preserve"> Introduction to the research process and statistical methods to plan, conduct and interpret experiments. </w:t>
      </w:r>
      <w:r w:rsidRPr="009169E4">
        <w:rPr>
          <w:rFonts w:ascii="Calibri" w:eastAsia="Aptos" w:hAnsi="Calibri" w:cs="Calibri"/>
          <w:i/>
          <w:iCs/>
          <w:kern w:val="0"/>
          <w14:ligatures w14:val="none"/>
        </w:rPr>
        <w:t xml:space="preserve">Prerequisite(s): </w:t>
      </w:r>
      <w:hyperlink r:id="rId13" w:tooltip="PLS 120" w:history="1">
        <w:r w:rsidRPr="009169E4">
          <w:rPr>
            <w:rFonts w:ascii="Calibri" w:eastAsia="Aptos" w:hAnsi="Calibri" w:cs="Calibri"/>
            <w:color w:val="0563C1"/>
            <w:kern w:val="0"/>
            <w:u w:val="single"/>
            <w14:ligatures w14:val="none"/>
          </w:rPr>
          <w:t>PLS 120</w:t>
        </w:r>
      </w:hyperlink>
      <w:r w:rsidRPr="009169E4">
        <w:rPr>
          <w:rFonts w:ascii="Calibri" w:eastAsia="Aptos" w:hAnsi="Calibri" w:cs="Calibri"/>
          <w:kern w:val="0"/>
          <w14:ligatures w14:val="none"/>
        </w:rPr>
        <w:t>; or equivalent.</w:t>
      </w:r>
    </w:p>
    <w:p w14:paraId="5C89613B"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w:t>
      </w:r>
    </w:p>
    <w:p w14:paraId="1D640C2C"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xml:space="preserve">PLS 206 — Applied Multivariate Modeling in Agricultural &amp; Environmental Sciences (4 units) </w:t>
      </w:r>
    </w:p>
    <w:p w14:paraId="342D5A36" w14:textId="5853C7D1"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i/>
          <w:iCs/>
          <w:kern w:val="0"/>
          <w14:ligatures w14:val="none"/>
        </w:rPr>
        <w:t>Course Description:</w:t>
      </w:r>
      <w:r w:rsidRPr="009169E4">
        <w:rPr>
          <w:rFonts w:ascii="Calibri" w:eastAsia="Aptos" w:hAnsi="Calibri" w:cs="Calibri"/>
          <w:kern w:val="0"/>
          <w14:ligatures w14:val="none"/>
        </w:rPr>
        <w:t xml:space="preserve"> Multivariate linear and nonlinear models. Model selection and parameter estimation. Analysis of manipulative and observational agroecological experiments. Discriminant, principal component, and path analyses. Logistic and biased regression. Bootstrapping. Exercises based on actual research by UC Davis students.</w:t>
      </w:r>
      <w:r w:rsidR="0031299C">
        <w:rPr>
          <w:rFonts w:ascii="Calibri" w:eastAsia="Aptos" w:hAnsi="Calibri" w:cs="Calibri"/>
          <w:kern w:val="0"/>
          <w14:ligatures w14:val="none"/>
        </w:rPr>
        <w:t xml:space="preserve"> </w:t>
      </w:r>
      <w:r w:rsidRPr="009169E4">
        <w:rPr>
          <w:rFonts w:ascii="Calibri" w:eastAsia="Aptos" w:hAnsi="Calibri" w:cs="Calibri"/>
          <w:i/>
          <w:iCs/>
          <w:kern w:val="0"/>
          <w14:ligatures w14:val="none"/>
        </w:rPr>
        <w:t xml:space="preserve">Prerequisite(s): </w:t>
      </w:r>
      <w:hyperlink r:id="rId14" w:tooltip="PLS 120" w:history="1">
        <w:r w:rsidRPr="009169E4">
          <w:rPr>
            <w:rFonts w:ascii="Calibri" w:eastAsia="Aptos" w:hAnsi="Calibri" w:cs="Calibri"/>
            <w:color w:val="0563C1"/>
            <w:kern w:val="0"/>
            <w:u w:val="single"/>
            <w14:ligatures w14:val="none"/>
          </w:rPr>
          <w:t>PLS 120</w:t>
        </w:r>
      </w:hyperlink>
      <w:r w:rsidRPr="009169E4">
        <w:rPr>
          <w:rFonts w:ascii="Calibri" w:eastAsia="Aptos" w:hAnsi="Calibri" w:cs="Calibri"/>
          <w:kern w:val="0"/>
          <w14:ligatures w14:val="none"/>
        </w:rPr>
        <w:t>; (</w:t>
      </w:r>
      <w:hyperlink r:id="rId15" w:tooltip="STA 106" w:history="1">
        <w:r w:rsidRPr="009169E4">
          <w:rPr>
            <w:rFonts w:ascii="Calibri" w:eastAsia="Aptos" w:hAnsi="Calibri" w:cs="Calibri"/>
            <w:color w:val="0563C1"/>
            <w:kern w:val="0"/>
            <w:u w:val="single"/>
            <w14:ligatures w14:val="none"/>
          </w:rPr>
          <w:t>STA 106</w:t>
        </w:r>
      </w:hyperlink>
      <w:r w:rsidRPr="009169E4">
        <w:rPr>
          <w:rFonts w:ascii="Calibri" w:eastAsia="Aptos" w:hAnsi="Calibri" w:cs="Calibri"/>
          <w:kern w:val="0"/>
          <w14:ligatures w14:val="none"/>
        </w:rPr>
        <w:t xml:space="preserve"> or </w:t>
      </w:r>
      <w:hyperlink r:id="rId16" w:tooltip="STA 108" w:history="1">
        <w:r w:rsidRPr="009169E4">
          <w:rPr>
            <w:rFonts w:ascii="Calibri" w:eastAsia="Aptos" w:hAnsi="Calibri" w:cs="Calibri"/>
            <w:color w:val="0563C1"/>
            <w:kern w:val="0"/>
            <w:u w:val="single"/>
            <w14:ligatures w14:val="none"/>
          </w:rPr>
          <w:t>STA 108</w:t>
        </w:r>
      </w:hyperlink>
      <w:r w:rsidRPr="009169E4">
        <w:rPr>
          <w:rFonts w:ascii="Calibri" w:eastAsia="Aptos" w:hAnsi="Calibri" w:cs="Calibri"/>
          <w:kern w:val="0"/>
          <w14:ligatures w14:val="none"/>
        </w:rPr>
        <w:t xml:space="preserve"> or </w:t>
      </w:r>
      <w:hyperlink r:id="rId17" w:tooltip="PLS 205" w:history="1">
        <w:r w:rsidRPr="009169E4">
          <w:rPr>
            <w:rFonts w:ascii="Calibri" w:eastAsia="Aptos" w:hAnsi="Calibri" w:cs="Calibri"/>
            <w:color w:val="0563C1"/>
            <w:kern w:val="0"/>
            <w:u w:val="single"/>
            <w14:ligatures w14:val="none"/>
          </w:rPr>
          <w:t>PLS 205</w:t>
        </w:r>
      </w:hyperlink>
      <w:r w:rsidRPr="009169E4">
        <w:rPr>
          <w:rFonts w:ascii="Calibri" w:eastAsia="Aptos" w:hAnsi="Calibri" w:cs="Calibri"/>
          <w:kern w:val="0"/>
          <w14:ligatures w14:val="none"/>
        </w:rPr>
        <w:t>).</w:t>
      </w:r>
    </w:p>
    <w:p w14:paraId="4AEA93DF"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w:t>
      </w:r>
    </w:p>
    <w:p w14:paraId="2437AC14"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xml:space="preserve">PLS 207 — Applied Statistical Modeling for the Environmental Sciences (3 units) </w:t>
      </w:r>
    </w:p>
    <w:p w14:paraId="06D13B7C" w14:textId="36B73574"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i/>
          <w:iCs/>
          <w:kern w:val="0"/>
          <w14:ligatures w14:val="none"/>
        </w:rPr>
        <w:t>Course Description:</w:t>
      </w:r>
      <w:r w:rsidRPr="009169E4">
        <w:rPr>
          <w:rFonts w:ascii="Calibri" w:eastAsia="Aptos" w:hAnsi="Calibri" w:cs="Calibri"/>
          <w:kern w:val="0"/>
          <w14:ligatures w14:val="none"/>
        </w:rPr>
        <w:t xml:space="preserve"> Introduction to building statistical models in classical and Bayesian frameworks, model fitting methods, introduction to hierarchical Bayes, regularization and priors, applications of hierarchical Bayesian models to important kinds of problems of environmental data analysis.</w:t>
      </w:r>
      <w:r w:rsidR="0031299C">
        <w:rPr>
          <w:rFonts w:ascii="Calibri" w:eastAsia="Aptos" w:hAnsi="Calibri" w:cs="Calibri"/>
          <w:kern w:val="0"/>
          <w14:ligatures w14:val="none"/>
        </w:rPr>
        <w:t xml:space="preserve"> </w:t>
      </w:r>
      <w:r w:rsidRPr="009169E4">
        <w:rPr>
          <w:rFonts w:ascii="Calibri" w:eastAsia="Aptos" w:hAnsi="Calibri" w:cs="Calibri"/>
          <w:i/>
          <w:iCs/>
          <w:kern w:val="0"/>
          <w14:ligatures w14:val="none"/>
        </w:rPr>
        <w:t xml:space="preserve">Prerequisite(s): </w:t>
      </w:r>
      <w:hyperlink r:id="rId18" w:tooltip="PLS 205" w:history="1">
        <w:r w:rsidRPr="009169E4">
          <w:rPr>
            <w:rFonts w:ascii="Calibri" w:eastAsia="Aptos" w:hAnsi="Calibri" w:cs="Calibri"/>
            <w:color w:val="0563C1"/>
            <w:kern w:val="0"/>
            <w:u w:val="single"/>
            <w14:ligatures w14:val="none"/>
          </w:rPr>
          <w:t>PLS 205</w:t>
        </w:r>
      </w:hyperlink>
      <w:r w:rsidRPr="009169E4">
        <w:rPr>
          <w:rFonts w:ascii="Calibri" w:eastAsia="Aptos" w:hAnsi="Calibri" w:cs="Calibri"/>
          <w:kern w:val="0"/>
          <w14:ligatures w14:val="none"/>
        </w:rPr>
        <w:t xml:space="preserve"> (can be concurrent); </w:t>
      </w:r>
      <w:hyperlink r:id="rId19" w:tooltip="PLS 206" w:history="1">
        <w:r w:rsidRPr="009169E4">
          <w:rPr>
            <w:rFonts w:ascii="Calibri" w:eastAsia="Aptos" w:hAnsi="Calibri" w:cs="Calibri"/>
            <w:color w:val="0563C1"/>
            <w:kern w:val="0"/>
            <w:u w:val="single"/>
            <w14:ligatures w14:val="none"/>
          </w:rPr>
          <w:t>PLS 206</w:t>
        </w:r>
      </w:hyperlink>
      <w:r w:rsidRPr="009169E4">
        <w:rPr>
          <w:rFonts w:ascii="Calibri" w:eastAsia="Aptos" w:hAnsi="Calibri" w:cs="Calibri"/>
          <w:kern w:val="0"/>
          <w14:ligatures w14:val="none"/>
        </w:rPr>
        <w:t xml:space="preserve"> (can be concurrent); or consent of instructor.</w:t>
      </w:r>
    </w:p>
    <w:p w14:paraId="23E3AAB6"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w:t>
      </w:r>
    </w:p>
    <w:p w14:paraId="33A8025B"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STA 101 — Advanced Applied Statistics for the Biological Sciences (4 units)</w:t>
      </w:r>
    </w:p>
    <w:p w14:paraId="77E4CF5F" w14:textId="5873EEF3"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i/>
          <w:iCs/>
          <w:kern w:val="0"/>
          <w14:ligatures w14:val="none"/>
        </w:rPr>
        <w:t>Course Description:</w:t>
      </w:r>
      <w:r w:rsidRPr="009169E4">
        <w:rPr>
          <w:rFonts w:ascii="Calibri" w:eastAsia="Aptos" w:hAnsi="Calibri" w:cs="Calibri"/>
          <w:kern w:val="0"/>
          <w14:ligatures w14:val="none"/>
        </w:rPr>
        <w:t xml:space="preserve"> Basic experimental designs, two-factor ANOVA without interactions, repeated measures ANOVA, ANCOVA, random effects vs. fixed effects, multiple regression, basic model building, </w:t>
      </w:r>
      <w:r w:rsidRPr="009169E4">
        <w:rPr>
          <w:rFonts w:ascii="Calibri" w:eastAsia="Aptos" w:hAnsi="Calibri" w:cs="Calibri"/>
          <w:kern w:val="0"/>
          <w14:ligatures w14:val="none"/>
        </w:rPr>
        <w:lastRenderedPageBreak/>
        <w:t xml:space="preserve">resampling methods, multiple comparisons, multivariate methods, generalized linear models, Monte Carlo simulations. </w:t>
      </w:r>
      <w:r w:rsidRPr="009169E4">
        <w:rPr>
          <w:rFonts w:ascii="Calibri" w:eastAsia="Aptos" w:hAnsi="Calibri" w:cs="Calibri"/>
          <w:i/>
          <w:iCs/>
          <w:kern w:val="0"/>
          <w14:ligatures w14:val="none"/>
        </w:rPr>
        <w:t>Prerequisite(s): </w:t>
      </w:r>
      <w:hyperlink r:id="rId20" w:tooltip="STA 035B" w:history="1">
        <w:r w:rsidRPr="009169E4">
          <w:rPr>
            <w:rStyle w:val="Hyperlink"/>
            <w:rFonts w:ascii="Calibri" w:eastAsia="Aptos" w:hAnsi="Calibri" w:cs="Calibri"/>
            <w:kern w:val="0"/>
            <w14:ligatures w14:val="none"/>
          </w:rPr>
          <w:t>STA 035B</w:t>
        </w:r>
      </w:hyperlink>
      <w:r w:rsidRPr="009169E4">
        <w:rPr>
          <w:rFonts w:ascii="Calibri" w:eastAsia="Aptos" w:hAnsi="Calibri" w:cs="Calibri"/>
          <w:kern w:val="0"/>
          <w14:ligatures w14:val="none"/>
        </w:rPr>
        <w:t> C- or better or </w:t>
      </w:r>
      <w:hyperlink r:id="rId21" w:tooltip="STA 100" w:history="1">
        <w:r w:rsidRPr="009169E4">
          <w:rPr>
            <w:rStyle w:val="Hyperlink"/>
            <w:rFonts w:ascii="Calibri" w:eastAsia="Aptos" w:hAnsi="Calibri" w:cs="Calibri"/>
            <w:kern w:val="0"/>
            <w14:ligatures w14:val="none"/>
          </w:rPr>
          <w:t>STA 100</w:t>
        </w:r>
      </w:hyperlink>
      <w:r w:rsidRPr="009169E4">
        <w:rPr>
          <w:rFonts w:ascii="Calibri" w:eastAsia="Aptos" w:hAnsi="Calibri" w:cs="Calibri"/>
          <w:kern w:val="0"/>
          <w14:ligatures w14:val="none"/>
        </w:rPr>
        <w:t> C- or better.</w:t>
      </w:r>
    </w:p>
    <w:p w14:paraId="013DA119" w14:textId="77777777" w:rsidR="009169E4" w:rsidRDefault="009169E4" w:rsidP="009169E4">
      <w:pPr>
        <w:spacing w:after="0" w:line="240" w:lineRule="auto"/>
        <w:rPr>
          <w:rFonts w:ascii="Calibri" w:eastAsia="Aptos" w:hAnsi="Calibri" w:cs="Calibri"/>
          <w:b/>
          <w:bCs/>
          <w:kern w:val="0"/>
          <w14:ligatures w14:val="none"/>
        </w:rPr>
      </w:pPr>
    </w:p>
    <w:p w14:paraId="7B19BDAB" w14:textId="77777777" w:rsidR="009169E4" w:rsidRDefault="009169E4" w:rsidP="009169E4">
      <w:pPr>
        <w:spacing w:after="0" w:line="240" w:lineRule="auto"/>
        <w:rPr>
          <w:rFonts w:ascii="Calibri" w:eastAsia="Aptos" w:hAnsi="Calibri" w:cs="Calibri"/>
          <w:b/>
          <w:bCs/>
          <w:kern w:val="0"/>
          <w14:ligatures w14:val="none"/>
        </w:rPr>
      </w:pPr>
    </w:p>
    <w:p w14:paraId="7018D777" w14:textId="5538DB30"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b/>
          <w:bCs/>
          <w:kern w:val="0"/>
          <w14:ligatures w14:val="none"/>
        </w:rPr>
        <w:t>Approved economics course substitutes with some notes</w:t>
      </w:r>
    </w:p>
    <w:p w14:paraId="6C071EA0" w14:textId="77777777" w:rsidR="009169E4" w:rsidRDefault="009169E4" w:rsidP="009169E4">
      <w:pPr>
        <w:spacing w:after="0" w:line="240" w:lineRule="auto"/>
        <w:rPr>
          <w:rFonts w:ascii="Calibri" w:eastAsia="Aptos" w:hAnsi="Calibri" w:cs="Calibri"/>
          <w:kern w:val="0"/>
          <w14:ligatures w14:val="none"/>
        </w:rPr>
      </w:pPr>
    </w:p>
    <w:p w14:paraId="040ED7C9" w14:textId="6FCECFCF"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ARE 115A Economic Development with Boucher - Big Intro class and does not have ARE 100A as a prerequisite.</w:t>
      </w:r>
    </w:p>
    <w:p w14:paraId="4878EEB2"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 xml:space="preserve">ARE 214 Development Economics with Boucher (Grad class that could potentially work for IAD students with experience and skills in micro and econometrics -- it is very much oriented to small farms and poverty traps). Course description </w:t>
      </w:r>
      <w:hyperlink r:id="rId22" w:history="1">
        <w:r w:rsidRPr="009169E4">
          <w:rPr>
            <w:rFonts w:ascii="Calibri" w:eastAsia="Aptos" w:hAnsi="Calibri" w:cs="Calibri"/>
            <w:color w:val="0563C1"/>
            <w:kern w:val="0"/>
            <w:u w:val="single"/>
            <w14:ligatures w14:val="none"/>
          </w:rPr>
          <w:t>here</w:t>
        </w:r>
      </w:hyperlink>
      <w:r w:rsidRPr="009169E4">
        <w:rPr>
          <w:rFonts w:ascii="Calibri" w:eastAsia="Aptos" w:hAnsi="Calibri" w:cs="Calibri"/>
          <w:kern w:val="0"/>
          <w14:ligatures w14:val="none"/>
        </w:rPr>
        <w:t>.</w:t>
      </w:r>
    </w:p>
    <w:p w14:paraId="6269F0BD"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ARE 121: Economics of Agricultural Sustainability</w:t>
      </w:r>
    </w:p>
    <w:p w14:paraId="154566D8"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ARE 150: Economics of Agricultural Labor</w:t>
      </w:r>
    </w:p>
    <w:p w14:paraId="22871A54"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ARE 132: Cooperative Business Enterprises</w:t>
      </w:r>
    </w:p>
    <w:p w14:paraId="3409C249"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ARE 120—Agricultural Policy</w:t>
      </w:r>
    </w:p>
    <w:p w14:paraId="756F4614"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ARE 175—Natural Resource Economics</w:t>
      </w:r>
    </w:p>
    <w:p w14:paraId="48E06C1E" w14:textId="77777777" w:rsidR="009169E4" w:rsidRPr="009169E4" w:rsidRDefault="009169E4" w:rsidP="009169E4">
      <w:pPr>
        <w:spacing w:after="0" w:line="240" w:lineRule="auto"/>
        <w:rPr>
          <w:rFonts w:ascii="Calibri" w:eastAsia="Aptos" w:hAnsi="Calibri" w:cs="Calibri"/>
          <w:kern w:val="0"/>
          <w14:ligatures w14:val="none"/>
        </w:rPr>
      </w:pPr>
      <w:r w:rsidRPr="009169E4">
        <w:rPr>
          <w:rFonts w:ascii="Calibri" w:eastAsia="Aptos" w:hAnsi="Calibri" w:cs="Calibri"/>
          <w:kern w:val="0"/>
          <w14:ligatures w14:val="none"/>
        </w:rPr>
        <w:t>ARE 176 - Environmental Economics</w:t>
      </w:r>
    </w:p>
    <w:p w14:paraId="41EFAC48" w14:textId="77777777" w:rsidR="00D53063" w:rsidRDefault="00D53063"/>
    <w:sectPr w:rsidR="00D5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5614"/>
    <w:multiLevelType w:val="multilevel"/>
    <w:tmpl w:val="1FEE2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2110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E4"/>
    <w:rsid w:val="002119CF"/>
    <w:rsid w:val="0031299C"/>
    <w:rsid w:val="003E4BF2"/>
    <w:rsid w:val="00410E70"/>
    <w:rsid w:val="00750C2E"/>
    <w:rsid w:val="009169E4"/>
    <w:rsid w:val="00A90A5D"/>
    <w:rsid w:val="00BA326E"/>
    <w:rsid w:val="00BD2FF1"/>
    <w:rsid w:val="00C416FF"/>
    <w:rsid w:val="00C558A7"/>
    <w:rsid w:val="00D53063"/>
    <w:rsid w:val="00EA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BE3E"/>
  <w15:chartTrackingRefBased/>
  <w15:docId w15:val="{FE6E5317-9526-45DD-81C8-BBE1DCC5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9E4"/>
    <w:rPr>
      <w:rFonts w:eastAsiaTheme="majorEastAsia" w:cstheme="majorBidi"/>
      <w:color w:val="272727" w:themeColor="text1" w:themeTint="D8"/>
    </w:rPr>
  </w:style>
  <w:style w:type="paragraph" w:styleId="Title">
    <w:name w:val="Title"/>
    <w:basedOn w:val="Normal"/>
    <w:next w:val="Normal"/>
    <w:link w:val="TitleChar"/>
    <w:uiPriority w:val="10"/>
    <w:qFormat/>
    <w:rsid w:val="00916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9E4"/>
    <w:pPr>
      <w:spacing w:before="160"/>
      <w:jc w:val="center"/>
    </w:pPr>
    <w:rPr>
      <w:i/>
      <w:iCs/>
      <w:color w:val="404040" w:themeColor="text1" w:themeTint="BF"/>
    </w:rPr>
  </w:style>
  <w:style w:type="character" w:customStyle="1" w:styleId="QuoteChar">
    <w:name w:val="Quote Char"/>
    <w:basedOn w:val="DefaultParagraphFont"/>
    <w:link w:val="Quote"/>
    <w:uiPriority w:val="29"/>
    <w:rsid w:val="009169E4"/>
    <w:rPr>
      <w:i/>
      <w:iCs/>
      <w:color w:val="404040" w:themeColor="text1" w:themeTint="BF"/>
    </w:rPr>
  </w:style>
  <w:style w:type="paragraph" w:styleId="ListParagraph">
    <w:name w:val="List Paragraph"/>
    <w:basedOn w:val="Normal"/>
    <w:uiPriority w:val="34"/>
    <w:qFormat/>
    <w:rsid w:val="009169E4"/>
    <w:pPr>
      <w:ind w:left="720"/>
      <w:contextualSpacing/>
    </w:pPr>
  </w:style>
  <w:style w:type="character" w:styleId="IntenseEmphasis">
    <w:name w:val="Intense Emphasis"/>
    <w:basedOn w:val="DefaultParagraphFont"/>
    <w:uiPriority w:val="21"/>
    <w:qFormat/>
    <w:rsid w:val="009169E4"/>
    <w:rPr>
      <w:i/>
      <w:iCs/>
      <w:color w:val="0F4761" w:themeColor="accent1" w:themeShade="BF"/>
    </w:rPr>
  </w:style>
  <w:style w:type="paragraph" w:styleId="IntenseQuote">
    <w:name w:val="Intense Quote"/>
    <w:basedOn w:val="Normal"/>
    <w:next w:val="Normal"/>
    <w:link w:val="IntenseQuoteChar"/>
    <w:uiPriority w:val="30"/>
    <w:qFormat/>
    <w:rsid w:val="00916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9E4"/>
    <w:rPr>
      <w:i/>
      <w:iCs/>
      <w:color w:val="0F4761" w:themeColor="accent1" w:themeShade="BF"/>
    </w:rPr>
  </w:style>
  <w:style w:type="character" w:styleId="IntenseReference">
    <w:name w:val="Intense Reference"/>
    <w:basedOn w:val="DefaultParagraphFont"/>
    <w:uiPriority w:val="32"/>
    <w:qFormat/>
    <w:rsid w:val="009169E4"/>
    <w:rPr>
      <w:b/>
      <w:bCs/>
      <w:smallCaps/>
      <w:color w:val="0F4761" w:themeColor="accent1" w:themeShade="BF"/>
      <w:spacing w:val="5"/>
    </w:rPr>
  </w:style>
  <w:style w:type="character" w:styleId="Hyperlink">
    <w:name w:val="Hyperlink"/>
    <w:basedOn w:val="DefaultParagraphFont"/>
    <w:uiPriority w:val="99"/>
    <w:unhideWhenUsed/>
    <w:rsid w:val="009169E4"/>
    <w:rPr>
      <w:color w:val="467886" w:themeColor="hyperlink"/>
      <w:u w:val="single"/>
    </w:rPr>
  </w:style>
  <w:style w:type="character" w:styleId="UnresolvedMention">
    <w:name w:val="Unresolved Mention"/>
    <w:basedOn w:val="DefaultParagraphFont"/>
    <w:uiPriority w:val="99"/>
    <w:semiHidden/>
    <w:unhideWhenUsed/>
    <w:rsid w:val="00916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786566">
      <w:bodyDiv w:val="1"/>
      <w:marLeft w:val="0"/>
      <w:marRight w:val="0"/>
      <w:marTop w:val="0"/>
      <w:marBottom w:val="0"/>
      <w:divBdr>
        <w:top w:val="none" w:sz="0" w:space="0" w:color="auto"/>
        <w:left w:val="none" w:sz="0" w:space="0" w:color="auto"/>
        <w:bottom w:val="none" w:sz="0" w:space="0" w:color="auto"/>
        <w:right w:val="none" w:sz="0" w:space="0" w:color="auto"/>
      </w:divBdr>
      <w:divsChild>
        <w:div w:id="496649580">
          <w:marLeft w:val="0"/>
          <w:marRight w:val="0"/>
          <w:marTop w:val="0"/>
          <w:marBottom w:val="0"/>
          <w:divBdr>
            <w:top w:val="none" w:sz="0" w:space="0" w:color="auto"/>
            <w:left w:val="none" w:sz="0" w:space="0" w:color="auto"/>
            <w:bottom w:val="none" w:sz="0" w:space="0" w:color="auto"/>
            <w:right w:val="none" w:sz="0" w:space="0" w:color="auto"/>
          </w:divBdr>
        </w:div>
        <w:div w:id="1645499248">
          <w:marLeft w:val="0"/>
          <w:marRight w:val="0"/>
          <w:marTop w:val="0"/>
          <w:marBottom w:val="0"/>
          <w:divBdr>
            <w:top w:val="none" w:sz="0" w:space="0" w:color="auto"/>
            <w:left w:val="none" w:sz="0" w:space="0" w:color="auto"/>
            <w:bottom w:val="none" w:sz="0" w:space="0" w:color="auto"/>
            <w:right w:val="none" w:sz="0" w:space="0" w:color="auto"/>
          </w:divBdr>
        </w:div>
      </w:divsChild>
    </w:div>
    <w:div w:id="239875884">
      <w:bodyDiv w:val="1"/>
      <w:marLeft w:val="0"/>
      <w:marRight w:val="0"/>
      <w:marTop w:val="0"/>
      <w:marBottom w:val="0"/>
      <w:divBdr>
        <w:top w:val="none" w:sz="0" w:space="0" w:color="auto"/>
        <w:left w:val="none" w:sz="0" w:space="0" w:color="auto"/>
        <w:bottom w:val="none" w:sz="0" w:space="0" w:color="auto"/>
        <w:right w:val="none" w:sz="0" w:space="0" w:color="auto"/>
      </w:divBdr>
      <w:divsChild>
        <w:div w:id="1275209245">
          <w:marLeft w:val="0"/>
          <w:marRight w:val="0"/>
          <w:marTop w:val="0"/>
          <w:marBottom w:val="0"/>
          <w:divBdr>
            <w:top w:val="none" w:sz="0" w:space="0" w:color="auto"/>
            <w:left w:val="none" w:sz="0" w:space="0" w:color="auto"/>
            <w:bottom w:val="none" w:sz="0" w:space="0" w:color="auto"/>
            <w:right w:val="none" w:sz="0" w:space="0" w:color="auto"/>
          </w:divBdr>
        </w:div>
        <w:div w:id="953513652">
          <w:marLeft w:val="0"/>
          <w:marRight w:val="0"/>
          <w:marTop w:val="0"/>
          <w:marBottom w:val="0"/>
          <w:divBdr>
            <w:top w:val="none" w:sz="0" w:space="0" w:color="auto"/>
            <w:left w:val="none" w:sz="0" w:space="0" w:color="auto"/>
            <w:bottom w:val="none" w:sz="0" w:space="0" w:color="auto"/>
            <w:right w:val="none" w:sz="0" w:space="0" w:color="auto"/>
          </w:divBdr>
        </w:div>
      </w:divsChild>
    </w:div>
    <w:div w:id="321467874">
      <w:bodyDiv w:val="1"/>
      <w:marLeft w:val="0"/>
      <w:marRight w:val="0"/>
      <w:marTop w:val="0"/>
      <w:marBottom w:val="0"/>
      <w:divBdr>
        <w:top w:val="none" w:sz="0" w:space="0" w:color="auto"/>
        <w:left w:val="none" w:sz="0" w:space="0" w:color="auto"/>
        <w:bottom w:val="none" w:sz="0" w:space="0" w:color="auto"/>
        <w:right w:val="none" w:sz="0" w:space="0" w:color="auto"/>
      </w:divBdr>
      <w:divsChild>
        <w:div w:id="276063221">
          <w:marLeft w:val="0"/>
          <w:marRight w:val="0"/>
          <w:marTop w:val="0"/>
          <w:marBottom w:val="0"/>
          <w:divBdr>
            <w:top w:val="none" w:sz="0" w:space="0" w:color="auto"/>
            <w:left w:val="none" w:sz="0" w:space="0" w:color="auto"/>
            <w:bottom w:val="none" w:sz="0" w:space="0" w:color="auto"/>
            <w:right w:val="none" w:sz="0" w:space="0" w:color="auto"/>
          </w:divBdr>
        </w:div>
        <w:div w:id="1679960397">
          <w:marLeft w:val="0"/>
          <w:marRight w:val="0"/>
          <w:marTop w:val="0"/>
          <w:marBottom w:val="0"/>
          <w:divBdr>
            <w:top w:val="none" w:sz="0" w:space="0" w:color="auto"/>
            <w:left w:val="none" w:sz="0" w:space="0" w:color="auto"/>
            <w:bottom w:val="none" w:sz="0" w:space="0" w:color="auto"/>
            <w:right w:val="none" w:sz="0" w:space="0" w:color="auto"/>
          </w:divBdr>
        </w:div>
      </w:divsChild>
    </w:div>
    <w:div w:id="412898340">
      <w:bodyDiv w:val="1"/>
      <w:marLeft w:val="0"/>
      <w:marRight w:val="0"/>
      <w:marTop w:val="0"/>
      <w:marBottom w:val="0"/>
      <w:divBdr>
        <w:top w:val="none" w:sz="0" w:space="0" w:color="auto"/>
        <w:left w:val="none" w:sz="0" w:space="0" w:color="auto"/>
        <w:bottom w:val="none" w:sz="0" w:space="0" w:color="auto"/>
        <w:right w:val="none" w:sz="0" w:space="0" w:color="auto"/>
      </w:divBdr>
    </w:div>
    <w:div w:id="472721172">
      <w:bodyDiv w:val="1"/>
      <w:marLeft w:val="0"/>
      <w:marRight w:val="0"/>
      <w:marTop w:val="0"/>
      <w:marBottom w:val="0"/>
      <w:divBdr>
        <w:top w:val="none" w:sz="0" w:space="0" w:color="auto"/>
        <w:left w:val="none" w:sz="0" w:space="0" w:color="auto"/>
        <w:bottom w:val="none" w:sz="0" w:space="0" w:color="auto"/>
        <w:right w:val="none" w:sz="0" w:space="0" w:color="auto"/>
      </w:divBdr>
    </w:div>
    <w:div w:id="814102506">
      <w:bodyDiv w:val="1"/>
      <w:marLeft w:val="0"/>
      <w:marRight w:val="0"/>
      <w:marTop w:val="0"/>
      <w:marBottom w:val="0"/>
      <w:divBdr>
        <w:top w:val="none" w:sz="0" w:space="0" w:color="auto"/>
        <w:left w:val="none" w:sz="0" w:space="0" w:color="auto"/>
        <w:bottom w:val="none" w:sz="0" w:space="0" w:color="auto"/>
        <w:right w:val="none" w:sz="0" w:space="0" w:color="auto"/>
      </w:divBdr>
      <w:divsChild>
        <w:div w:id="1721900589">
          <w:marLeft w:val="0"/>
          <w:marRight w:val="0"/>
          <w:marTop w:val="0"/>
          <w:marBottom w:val="0"/>
          <w:divBdr>
            <w:top w:val="none" w:sz="0" w:space="0" w:color="auto"/>
            <w:left w:val="none" w:sz="0" w:space="0" w:color="auto"/>
            <w:bottom w:val="none" w:sz="0" w:space="0" w:color="auto"/>
            <w:right w:val="none" w:sz="0" w:space="0" w:color="auto"/>
          </w:divBdr>
        </w:div>
        <w:div w:id="995189608">
          <w:marLeft w:val="0"/>
          <w:marRight w:val="0"/>
          <w:marTop w:val="0"/>
          <w:marBottom w:val="0"/>
          <w:divBdr>
            <w:top w:val="none" w:sz="0" w:space="0" w:color="auto"/>
            <w:left w:val="none" w:sz="0" w:space="0" w:color="auto"/>
            <w:bottom w:val="none" w:sz="0" w:space="0" w:color="auto"/>
            <w:right w:val="none" w:sz="0" w:space="0" w:color="auto"/>
          </w:divBdr>
        </w:div>
      </w:divsChild>
    </w:div>
    <w:div w:id="893003235">
      <w:bodyDiv w:val="1"/>
      <w:marLeft w:val="0"/>
      <w:marRight w:val="0"/>
      <w:marTop w:val="0"/>
      <w:marBottom w:val="0"/>
      <w:divBdr>
        <w:top w:val="none" w:sz="0" w:space="0" w:color="auto"/>
        <w:left w:val="none" w:sz="0" w:space="0" w:color="auto"/>
        <w:bottom w:val="none" w:sz="0" w:space="0" w:color="auto"/>
        <w:right w:val="none" w:sz="0" w:space="0" w:color="auto"/>
      </w:divBdr>
    </w:div>
    <w:div w:id="996304646">
      <w:bodyDiv w:val="1"/>
      <w:marLeft w:val="0"/>
      <w:marRight w:val="0"/>
      <w:marTop w:val="0"/>
      <w:marBottom w:val="0"/>
      <w:divBdr>
        <w:top w:val="none" w:sz="0" w:space="0" w:color="auto"/>
        <w:left w:val="none" w:sz="0" w:space="0" w:color="auto"/>
        <w:bottom w:val="none" w:sz="0" w:space="0" w:color="auto"/>
        <w:right w:val="none" w:sz="0" w:space="0" w:color="auto"/>
      </w:divBdr>
      <w:divsChild>
        <w:div w:id="985478906">
          <w:marLeft w:val="0"/>
          <w:marRight w:val="0"/>
          <w:marTop w:val="0"/>
          <w:marBottom w:val="0"/>
          <w:divBdr>
            <w:top w:val="none" w:sz="0" w:space="0" w:color="auto"/>
            <w:left w:val="none" w:sz="0" w:space="0" w:color="auto"/>
            <w:bottom w:val="none" w:sz="0" w:space="0" w:color="auto"/>
            <w:right w:val="none" w:sz="0" w:space="0" w:color="auto"/>
          </w:divBdr>
        </w:div>
        <w:div w:id="902563014">
          <w:marLeft w:val="0"/>
          <w:marRight w:val="0"/>
          <w:marTop w:val="0"/>
          <w:marBottom w:val="0"/>
          <w:divBdr>
            <w:top w:val="none" w:sz="0" w:space="0" w:color="auto"/>
            <w:left w:val="none" w:sz="0" w:space="0" w:color="auto"/>
            <w:bottom w:val="none" w:sz="0" w:space="0" w:color="auto"/>
            <w:right w:val="none" w:sz="0" w:space="0" w:color="auto"/>
          </w:divBdr>
        </w:div>
      </w:divsChild>
    </w:div>
    <w:div w:id="1126392621">
      <w:bodyDiv w:val="1"/>
      <w:marLeft w:val="0"/>
      <w:marRight w:val="0"/>
      <w:marTop w:val="0"/>
      <w:marBottom w:val="0"/>
      <w:divBdr>
        <w:top w:val="none" w:sz="0" w:space="0" w:color="auto"/>
        <w:left w:val="none" w:sz="0" w:space="0" w:color="auto"/>
        <w:bottom w:val="none" w:sz="0" w:space="0" w:color="auto"/>
        <w:right w:val="none" w:sz="0" w:space="0" w:color="auto"/>
      </w:divBdr>
      <w:divsChild>
        <w:div w:id="62604699">
          <w:marLeft w:val="0"/>
          <w:marRight w:val="0"/>
          <w:marTop w:val="0"/>
          <w:marBottom w:val="0"/>
          <w:divBdr>
            <w:top w:val="none" w:sz="0" w:space="0" w:color="auto"/>
            <w:left w:val="none" w:sz="0" w:space="0" w:color="auto"/>
            <w:bottom w:val="none" w:sz="0" w:space="0" w:color="auto"/>
            <w:right w:val="none" w:sz="0" w:space="0" w:color="auto"/>
          </w:divBdr>
        </w:div>
        <w:div w:id="1900171802">
          <w:marLeft w:val="0"/>
          <w:marRight w:val="0"/>
          <w:marTop w:val="0"/>
          <w:marBottom w:val="0"/>
          <w:divBdr>
            <w:top w:val="none" w:sz="0" w:space="0" w:color="auto"/>
            <w:left w:val="none" w:sz="0" w:space="0" w:color="auto"/>
            <w:bottom w:val="none" w:sz="0" w:space="0" w:color="auto"/>
            <w:right w:val="none" w:sz="0" w:space="0" w:color="auto"/>
          </w:divBdr>
        </w:div>
      </w:divsChild>
    </w:div>
    <w:div w:id="1221014432">
      <w:bodyDiv w:val="1"/>
      <w:marLeft w:val="0"/>
      <w:marRight w:val="0"/>
      <w:marTop w:val="0"/>
      <w:marBottom w:val="0"/>
      <w:divBdr>
        <w:top w:val="none" w:sz="0" w:space="0" w:color="auto"/>
        <w:left w:val="none" w:sz="0" w:space="0" w:color="auto"/>
        <w:bottom w:val="none" w:sz="0" w:space="0" w:color="auto"/>
        <w:right w:val="none" w:sz="0" w:space="0" w:color="auto"/>
      </w:divBdr>
      <w:divsChild>
        <w:div w:id="3361238">
          <w:marLeft w:val="0"/>
          <w:marRight w:val="0"/>
          <w:marTop w:val="0"/>
          <w:marBottom w:val="0"/>
          <w:divBdr>
            <w:top w:val="none" w:sz="0" w:space="0" w:color="auto"/>
            <w:left w:val="none" w:sz="0" w:space="0" w:color="auto"/>
            <w:bottom w:val="none" w:sz="0" w:space="0" w:color="auto"/>
            <w:right w:val="none" w:sz="0" w:space="0" w:color="auto"/>
          </w:divBdr>
        </w:div>
        <w:div w:id="645859944">
          <w:marLeft w:val="0"/>
          <w:marRight w:val="0"/>
          <w:marTop w:val="0"/>
          <w:marBottom w:val="0"/>
          <w:divBdr>
            <w:top w:val="none" w:sz="0" w:space="0" w:color="auto"/>
            <w:left w:val="none" w:sz="0" w:space="0" w:color="auto"/>
            <w:bottom w:val="none" w:sz="0" w:space="0" w:color="auto"/>
            <w:right w:val="none" w:sz="0" w:space="0" w:color="auto"/>
          </w:divBdr>
        </w:div>
      </w:divsChild>
    </w:div>
    <w:div w:id="1571619506">
      <w:bodyDiv w:val="1"/>
      <w:marLeft w:val="0"/>
      <w:marRight w:val="0"/>
      <w:marTop w:val="0"/>
      <w:marBottom w:val="0"/>
      <w:divBdr>
        <w:top w:val="none" w:sz="0" w:space="0" w:color="auto"/>
        <w:left w:val="none" w:sz="0" w:space="0" w:color="auto"/>
        <w:bottom w:val="none" w:sz="0" w:space="0" w:color="auto"/>
        <w:right w:val="none" w:sz="0" w:space="0" w:color="auto"/>
      </w:divBdr>
      <w:divsChild>
        <w:div w:id="1432243176">
          <w:marLeft w:val="0"/>
          <w:marRight w:val="0"/>
          <w:marTop w:val="0"/>
          <w:marBottom w:val="0"/>
          <w:divBdr>
            <w:top w:val="none" w:sz="0" w:space="0" w:color="auto"/>
            <w:left w:val="none" w:sz="0" w:space="0" w:color="auto"/>
            <w:bottom w:val="none" w:sz="0" w:space="0" w:color="auto"/>
            <w:right w:val="none" w:sz="0" w:space="0" w:color="auto"/>
          </w:divBdr>
        </w:div>
        <w:div w:id="347371220">
          <w:marLeft w:val="0"/>
          <w:marRight w:val="0"/>
          <w:marTop w:val="0"/>
          <w:marBottom w:val="0"/>
          <w:divBdr>
            <w:top w:val="none" w:sz="0" w:space="0" w:color="auto"/>
            <w:left w:val="none" w:sz="0" w:space="0" w:color="auto"/>
            <w:bottom w:val="none" w:sz="0" w:space="0" w:color="auto"/>
            <w:right w:val="none" w:sz="0" w:space="0" w:color="auto"/>
          </w:divBdr>
        </w:div>
      </w:divsChild>
    </w:div>
    <w:div w:id="1734423550">
      <w:bodyDiv w:val="1"/>
      <w:marLeft w:val="0"/>
      <w:marRight w:val="0"/>
      <w:marTop w:val="0"/>
      <w:marBottom w:val="0"/>
      <w:divBdr>
        <w:top w:val="none" w:sz="0" w:space="0" w:color="auto"/>
        <w:left w:val="none" w:sz="0" w:space="0" w:color="auto"/>
        <w:bottom w:val="none" w:sz="0" w:space="0" w:color="auto"/>
        <w:right w:val="none" w:sz="0" w:space="0" w:color="auto"/>
      </w:divBdr>
      <w:divsChild>
        <w:div w:id="812647455">
          <w:marLeft w:val="0"/>
          <w:marRight w:val="0"/>
          <w:marTop w:val="0"/>
          <w:marBottom w:val="0"/>
          <w:divBdr>
            <w:top w:val="none" w:sz="0" w:space="0" w:color="auto"/>
            <w:left w:val="none" w:sz="0" w:space="0" w:color="auto"/>
            <w:bottom w:val="none" w:sz="0" w:space="0" w:color="auto"/>
            <w:right w:val="none" w:sz="0" w:space="0" w:color="auto"/>
          </w:divBdr>
        </w:div>
        <w:div w:id="1793745060">
          <w:marLeft w:val="0"/>
          <w:marRight w:val="0"/>
          <w:marTop w:val="0"/>
          <w:marBottom w:val="0"/>
          <w:divBdr>
            <w:top w:val="none" w:sz="0" w:space="0" w:color="auto"/>
            <w:left w:val="none" w:sz="0" w:space="0" w:color="auto"/>
            <w:bottom w:val="none" w:sz="0" w:space="0" w:color="auto"/>
            <w:right w:val="none" w:sz="0" w:space="0" w:color="auto"/>
          </w:divBdr>
          <w:divsChild>
            <w:div w:id="1488133515">
              <w:marLeft w:val="0"/>
              <w:marRight w:val="0"/>
              <w:marTop w:val="0"/>
              <w:marBottom w:val="0"/>
              <w:divBdr>
                <w:top w:val="none" w:sz="0" w:space="0" w:color="auto"/>
                <w:left w:val="none" w:sz="0" w:space="0" w:color="auto"/>
                <w:bottom w:val="none" w:sz="0" w:space="0" w:color="auto"/>
                <w:right w:val="none" w:sz="0" w:space="0" w:color="auto"/>
              </w:divBdr>
              <w:divsChild>
                <w:div w:id="7943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6445">
          <w:marLeft w:val="0"/>
          <w:marRight w:val="0"/>
          <w:marTop w:val="0"/>
          <w:marBottom w:val="0"/>
          <w:divBdr>
            <w:top w:val="none" w:sz="0" w:space="0" w:color="auto"/>
            <w:left w:val="none" w:sz="0" w:space="0" w:color="auto"/>
            <w:bottom w:val="none" w:sz="0" w:space="0" w:color="auto"/>
            <w:right w:val="none" w:sz="0" w:space="0" w:color="auto"/>
          </w:divBdr>
        </w:div>
      </w:divsChild>
    </w:div>
    <w:div w:id="1831603066">
      <w:bodyDiv w:val="1"/>
      <w:marLeft w:val="0"/>
      <w:marRight w:val="0"/>
      <w:marTop w:val="0"/>
      <w:marBottom w:val="0"/>
      <w:divBdr>
        <w:top w:val="none" w:sz="0" w:space="0" w:color="auto"/>
        <w:left w:val="none" w:sz="0" w:space="0" w:color="auto"/>
        <w:bottom w:val="none" w:sz="0" w:space="0" w:color="auto"/>
        <w:right w:val="none" w:sz="0" w:space="0" w:color="auto"/>
      </w:divBdr>
      <w:divsChild>
        <w:div w:id="1900827369">
          <w:marLeft w:val="0"/>
          <w:marRight w:val="0"/>
          <w:marTop w:val="0"/>
          <w:marBottom w:val="0"/>
          <w:divBdr>
            <w:top w:val="none" w:sz="0" w:space="0" w:color="auto"/>
            <w:left w:val="none" w:sz="0" w:space="0" w:color="auto"/>
            <w:bottom w:val="none" w:sz="0" w:space="0" w:color="auto"/>
            <w:right w:val="none" w:sz="0" w:space="0" w:color="auto"/>
          </w:divBdr>
        </w:div>
        <w:div w:id="1132098618">
          <w:marLeft w:val="0"/>
          <w:marRight w:val="0"/>
          <w:marTop w:val="0"/>
          <w:marBottom w:val="0"/>
          <w:divBdr>
            <w:top w:val="none" w:sz="0" w:space="0" w:color="auto"/>
            <w:left w:val="none" w:sz="0" w:space="0" w:color="auto"/>
            <w:bottom w:val="none" w:sz="0" w:space="0" w:color="auto"/>
            <w:right w:val="none" w:sz="0" w:space="0" w:color="auto"/>
          </w:divBdr>
        </w:div>
      </w:divsChild>
    </w:div>
    <w:div w:id="1905598852">
      <w:bodyDiv w:val="1"/>
      <w:marLeft w:val="0"/>
      <w:marRight w:val="0"/>
      <w:marTop w:val="0"/>
      <w:marBottom w:val="0"/>
      <w:divBdr>
        <w:top w:val="none" w:sz="0" w:space="0" w:color="auto"/>
        <w:left w:val="none" w:sz="0" w:space="0" w:color="auto"/>
        <w:bottom w:val="none" w:sz="0" w:space="0" w:color="auto"/>
        <w:right w:val="none" w:sz="0" w:space="0" w:color="auto"/>
      </w:divBdr>
      <w:divsChild>
        <w:div w:id="1808816629">
          <w:marLeft w:val="0"/>
          <w:marRight w:val="0"/>
          <w:marTop w:val="0"/>
          <w:marBottom w:val="0"/>
          <w:divBdr>
            <w:top w:val="none" w:sz="0" w:space="0" w:color="auto"/>
            <w:left w:val="none" w:sz="0" w:space="0" w:color="auto"/>
            <w:bottom w:val="none" w:sz="0" w:space="0" w:color="auto"/>
            <w:right w:val="none" w:sz="0" w:space="0" w:color="auto"/>
          </w:divBdr>
        </w:div>
        <w:div w:id="1018197030">
          <w:marLeft w:val="0"/>
          <w:marRight w:val="0"/>
          <w:marTop w:val="0"/>
          <w:marBottom w:val="0"/>
          <w:divBdr>
            <w:top w:val="none" w:sz="0" w:space="0" w:color="auto"/>
            <w:left w:val="none" w:sz="0" w:space="0" w:color="auto"/>
            <w:bottom w:val="none" w:sz="0" w:space="0" w:color="auto"/>
            <w:right w:val="none" w:sz="0" w:space="0" w:color="auto"/>
          </w:divBdr>
        </w:div>
      </w:divsChild>
    </w:div>
    <w:div w:id="20136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cdavis.edu/search/?P=CRD%20001" TargetMode="External"/><Relationship Id="rId13" Type="http://schemas.openxmlformats.org/officeDocument/2006/relationships/hyperlink" Target="https://catalog.ucdavis.edu/search/?P=PLS%20120" TargetMode="External"/><Relationship Id="rId18" Type="http://schemas.openxmlformats.org/officeDocument/2006/relationships/hyperlink" Target="https://catalog.ucdavis.edu/search/?P=PLS%20205" TargetMode="External"/><Relationship Id="rId3" Type="http://schemas.openxmlformats.org/officeDocument/2006/relationships/settings" Target="settings.xml"/><Relationship Id="rId21" Type="http://schemas.openxmlformats.org/officeDocument/2006/relationships/hyperlink" Target="https://catalog.ucdavis.edu/search/?P=STA%20100" TargetMode="External"/><Relationship Id="rId7" Type="http://schemas.openxmlformats.org/officeDocument/2006/relationships/hyperlink" Target="https://catalog.ucdavis.edu/search/?P=STA%20032" TargetMode="External"/><Relationship Id="rId12" Type="http://schemas.openxmlformats.org/officeDocument/2006/relationships/hyperlink" Target="https://catalog.ucdavis.edu/search/?P=EDU%20201" TargetMode="External"/><Relationship Id="rId17" Type="http://schemas.openxmlformats.org/officeDocument/2006/relationships/hyperlink" Target="https://catalog.ucdavis.edu/search/?P=PLS%20205" TargetMode="External"/><Relationship Id="rId2" Type="http://schemas.openxmlformats.org/officeDocument/2006/relationships/styles" Target="styles.xml"/><Relationship Id="rId16" Type="http://schemas.openxmlformats.org/officeDocument/2006/relationships/hyperlink" Target="https://catalog.ucdavis.edu/search/?P=STA%20108" TargetMode="External"/><Relationship Id="rId20" Type="http://schemas.openxmlformats.org/officeDocument/2006/relationships/hyperlink" Target="https://catalog.ucdavis.edu/search/?P=STA%20035B" TargetMode="External"/><Relationship Id="rId1" Type="http://schemas.openxmlformats.org/officeDocument/2006/relationships/numbering" Target="numbering.xml"/><Relationship Id="rId6" Type="http://schemas.openxmlformats.org/officeDocument/2006/relationships/hyperlink" Target="https://catalog.ucdavis.edu/search/?P=STA%20013Y" TargetMode="External"/><Relationship Id="rId11" Type="http://schemas.openxmlformats.org/officeDocument/2006/relationships/hyperlink" Target="https://catalog.ucdavis.edu/search/?P=SOC%20106" TargetMode="External"/><Relationship Id="rId24" Type="http://schemas.openxmlformats.org/officeDocument/2006/relationships/theme" Target="theme/theme1.xml"/><Relationship Id="rId5" Type="http://schemas.openxmlformats.org/officeDocument/2006/relationships/hyperlink" Target="https://catalog.ucdavis.edu/search/?P=STA%20013" TargetMode="External"/><Relationship Id="rId15" Type="http://schemas.openxmlformats.org/officeDocument/2006/relationships/hyperlink" Target="https://catalog.ucdavis.edu/search/?P=STA%20106" TargetMode="External"/><Relationship Id="rId23" Type="http://schemas.openxmlformats.org/officeDocument/2006/relationships/fontTable" Target="fontTable.xml"/><Relationship Id="rId10" Type="http://schemas.openxmlformats.org/officeDocument/2006/relationships/hyperlink" Target="https://catalog.ucdavis.edu/search/?P=STA%20013Y" TargetMode="External"/><Relationship Id="rId19" Type="http://schemas.openxmlformats.org/officeDocument/2006/relationships/hyperlink" Target="https://catalog.ucdavis.edu/search/?P=PLS%20206" TargetMode="External"/><Relationship Id="rId4" Type="http://schemas.openxmlformats.org/officeDocument/2006/relationships/webSettings" Target="webSettings.xml"/><Relationship Id="rId9" Type="http://schemas.openxmlformats.org/officeDocument/2006/relationships/hyperlink" Target="https://catalog.ucdavis.edu/search/?P=STA%20013" TargetMode="External"/><Relationship Id="rId14" Type="http://schemas.openxmlformats.org/officeDocument/2006/relationships/hyperlink" Target="https://catalog.ucdavis.edu/search/?P=PLS%20120" TargetMode="External"/><Relationship Id="rId22" Type="http://schemas.openxmlformats.org/officeDocument/2006/relationships/hyperlink" Target="https://catalog.ucdavis.edu/courses-subject-cod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Mark Pittelkow</dc:creator>
  <cp:keywords/>
  <dc:description/>
  <cp:lastModifiedBy>Cameron Mark Pittelkow</cp:lastModifiedBy>
  <cp:revision>3</cp:revision>
  <dcterms:created xsi:type="dcterms:W3CDTF">2024-09-17T16:44:00Z</dcterms:created>
  <dcterms:modified xsi:type="dcterms:W3CDTF">2024-09-18T20:21:00Z</dcterms:modified>
</cp:coreProperties>
</file>